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DEC8" w14:textId="4CEA60A4" w:rsidR="003E69DD" w:rsidRPr="00B55935" w:rsidRDefault="003E69DD" w:rsidP="003E69DD">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#94</w:t>
      </w:r>
      <w:r w:rsidR="00530B83">
        <w:rPr>
          <w:rFonts w:ascii="Calibri" w:eastAsia="新細明體" w:hAnsi="Calibri" w:cs="Arial"/>
          <w:noProof w:val="0"/>
          <w:sz w:val="24"/>
          <w:szCs w:val="24"/>
          <w:lang w:eastAsia="ja-JP"/>
        </w:rPr>
        <w:t>-e-Bis</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Pr="00C34BA3">
        <w:rPr>
          <w:rFonts w:ascii="Calibri" w:eastAsia="新細明體" w:hAnsi="Calibri" w:cs="Arial"/>
          <w:noProof w:val="0"/>
          <w:sz w:val="24"/>
          <w:szCs w:val="24"/>
          <w:lang w:eastAsia="ja-JP"/>
        </w:rPr>
        <w:t>R4-200</w:t>
      </w:r>
      <w:r w:rsidR="006E70AB">
        <w:rPr>
          <w:rFonts w:ascii="Calibri" w:eastAsia="新細明體" w:hAnsi="Calibri" w:cs="Arial"/>
          <w:noProof w:val="0"/>
          <w:sz w:val="24"/>
          <w:szCs w:val="24"/>
          <w:lang w:eastAsia="ja-JP"/>
        </w:rPr>
        <w:t>3647</w:t>
      </w:r>
      <w:bookmarkStart w:id="0" w:name="_GoBack"/>
      <w:bookmarkEnd w:id="0"/>
    </w:p>
    <w:p w14:paraId="46977CB1" w14:textId="77777777" w:rsidR="003E69DD" w:rsidRDefault="003E69DD" w:rsidP="003E69DD">
      <w:pPr>
        <w:ind w:left="1985" w:hanging="1985"/>
        <w:rPr>
          <w:rFonts w:ascii="Calibri" w:eastAsia="新細明體" w:hAnsi="Calibri" w:cs="Arial"/>
          <w:b/>
          <w:sz w:val="24"/>
          <w:szCs w:val="24"/>
          <w:lang w:eastAsia="ja-JP"/>
        </w:rPr>
      </w:pPr>
      <w:r w:rsidRPr="001A2314">
        <w:rPr>
          <w:rFonts w:ascii="Calibri" w:eastAsia="新細明體" w:hAnsi="Calibri" w:cs="Arial"/>
          <w:b/>
          <w:sz w:val="24"/>
          <w:szCs w:val="24"/>
          <w:lang w:eastAsia="ja-JP"/>
        </w:rPr>
        <w:t xml:space="preserve">Electronic Meeting, </w:t>
      </w:r>
      <w:r w:rsidRPr="00E05CF0">
        <w:rPr>
          <w:rFonts w:ascii="Calibri" w:eastAsia="新細明體" w:hAnsi="Calibri" w:cs="Arial"/>
          <w:b/>
          <w:sz w:val="24"/>
          <w:szCs w:val="24"/>
          <w:lang w:eastAsia="ja-JP"/>
        </w:rPr>
        <w:t>20</w:t>
      </w:r>
      <w:r w:rsidRPr="00E05CF0">
        <w:rPr>
          <w:rFonts w:ascii="Calibri" w:eastAsia="新細明體" w:hAnsi="Calibri" w:cs="Arial" w:hint="eastAsia"/>
          <w:b/>
          <w:sz w:val="24"/>
          <w:szCs w:val="24"/>
          <w:lang w:eastAsia="ja-JP"/>
        </w:rPr>
        <w:t xml:space="preserve"> </w:t>
      </w:r>
      <w:r w:rsidRPr="00E05CF0">
        <w:rPr>
          <w:rFonts w:ascii="Calibri" w:eastAsia="新細明體" w:hAnsi="Calibri" w:cs="Arial"/>
          <w:b/>
          <w:sz w:val="24"/>
          <w:szCs w:val="24"/>
          <w:lang w:eastAsia="ja-JP"/>
        </w:rPr>
        <w:t>–</w:t>
      </w:r>
      <w:r w:rsidRPr="00E05CF0">
        <w:rPr>
          <w:rFonts w:ascii="Calibri" w:eastAsia="新細明體" w:hAnsi="Calibri" w:cs="Arial" w:hint="eastAsia"/>
          <w:b/>
          <w:sz w:val="24"/>
          <w:szCs w:val="24"/>
          <w:lang w:eastAsia="ja-JP"/>
        </w:rPr>
        <w:t xml:space="preserve"> </w:t>
      </w:r>
      <w:r w:rsidRPr="00E05CF0">
        <w:rPr>
          <w:rFonts w:ascii="Calibri" w:eastAsia="新細明體" w:hAnsi="Calibri" w:cs="Arial"/>
          <w:b/>
          <w:sz w:val="24"/>
          <w:szCs w:val="24"/>
          <w:lang w:eastAsia="ja-JP"/>
        </w:rPr>
        <w:t>30 Apr., 2020</w:t>
      </w:r>
    </w:p>
    <w:p w14:paraId="0426E601" w14:textId="77777777" w:rsidR="002E58D2" w:rsidRPr="002F29E4" w:rsidRDefault="002E58D2" w:rsidP="002E58D2">
      <w:pPr>
        <w:pStyle w:val="Header"/>
        <w:rPr>
          <w:rFonts w:ascii="Calibri" w:eastAsia="新細明體" w:hAnsi="Calibri"/>
          <w:sz w:val="24"/>
          <w:highlight w:val="yellow"/>
          <w:lang w:eastAsia="zh-TW"/>
        </w:rPr>
      </w:pPr>
    </w:p>
    <w:p w14:paraId="6352570E" w14:textId="054B9B24" w:rsidR="00FB1EA3" w:rsidRPr="00F52EE4" w:rsidRDefault="00FB1EA3" w:rsidP="00FB1EA3">
      <w:pPr>
        <w:ind w:left="1985" w:hanging="1985"/>
        <w:rPr>
          <w:rFonts w:cs="Arial"/>
          <w:b/>
          <w:bCs/>
        </w:rPr>
      </w:pPr>
      <w:r w:rsidRPr="003D401F">
        <w:rPr>
          <w:rFonts w:cs="Arial"/>
          <w:b/>
          <w:bCs/>
        </w:rPr>
        <w:t>Agenda Item:</w:t>
      </w:r>
      <w:r w:rsidRPr="003D401F">
        <w:rPr>
          <w:rFonts w:cs="Arial"/>
          <w:b/>
          <w:bCs/>
        </w:rPr>
        <w:tab/>
      </w:r>
      <w:r w:rsidR="00530B83" w:rsidRPr="003D401F">
        <w:rPr>
          <w:rFonts w:cs="Arial"/>
          <w:b/>
          <w:bCs/>
        </w:rPr>
        <w:t>6</w:t>
      </w:r>
      <w:r w:rsidR="00974EE8" w:rsidRPr="003D401F">
        <w:rPr>
          <w:rFonts w:cs="Arial"/>
          <w:b/>
          <w:bCs/>
        </w:rPr>
        <w:t>.</w:t>
      </w:r>
      <w:r w:rsidR="00333F93" w:rsidRPr="003D401F">
        <w:rPr>
          <w:rFonts w:cs="Arial"/>
          <w:b/>
          <w:bCs/>
        </w:rPr>
        <w:t>1</w:t>
      </w:r>
      <w:r w:rsidR="00416773" w:rsidRPr="003D401F">
        <w:rPr>
          <w:rFonts w:cs="Arial"/>
          <w:b/>
          <w:bCs/>
        </w:rPr>
        <w:t>6</w:t>
      </w:r>
      <w:r w:rsidR="00333F93" w:rsidRPr="003D401F">
        <w:rPr>
          <w:rFonts w:cs="Arial"/>
          <w:b/>
          <w:bCs/>
        </w:rPr>
        <w:t>.</w:t>
      </w:r>
      <w:r w:rsidR="00416773" w:rsidRPr="003D401F">
        <w:rPr>
          <w:rFonts w:cs="Arial"/>
          <w:b/>
          <w:bCs/>
        </w:rPr>
        <w:t>1.</w:t>
      </w:r>
      <w:r w:rsidR="00530B83" w:rsidRPr="003D401F">
        <w:rPr>
          <w:rFonts w:cs="Arial"/>
          <w:b/>
          <w:bCs/>
        </w:rPr>
        <w:t>5</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0F082D98" w:rsidR="00174EC2" w:rsidRDefault="0034111C" w:rsidP="007A4FCF">
      <w:pPr>
        <w:ind w:left="1985" w:hanging="1985"/>
        <w:rPr>
          <w:rFonts w:cs="Arial"/>
          <w:b/>
          <w:bCs/>
        </w:rPr>
      </w:pPr>
      <w:r w:rsidRPr="000C45FD">
        <w:rPr>
          <w:rFonts w:cs="Arial"/>
          <w:b/>
          <w:bCs/>
        </w:rPr>
        <w:t>Title:</w:t>
      </w:r>
      <w:r w:rsidRPr="000C45FD">
        <w:rPr>
          <w:rFonts w:cs="Arial"/>
          <w:b/>
          <w:bCs/>
        </w:rPr>
        <w:tab/>
      </w:r>
      <w:r w:rsidR="00416773" w:rsidRPr="00416773">
        <w:rPr>
          <w:rFonts w:cs="Arial"/>
          <w:b/>
          <w:bCs/>
        </w:rPr>
        <w:t>Discussion on pre-emption on CSI-RS for L3 measurement</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5D49068C" w14:textId="229B45ED" w:rsidR="005F1A2C" w:rsidRDefault="002944C1" w:rsidP="005F1A2C">
      <w:pPr>
        <w:pStyle w:val="Default"/>
        <w:spacing w:after="120"/>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In </w:t>
      </w:r>
      <w:r w:rsidR="005F1A2C">
        <w:rPr>
          <w:rFonts w:asciiTheme="minorHAnsi" w:eastAsiaTheme="minorEastAsia" w:hAnsiTheme="minorHAnsi" w:cstheme="minorBidi"/>
          <w:color w:val="auto"/>
          <w:sz w:val="22"/>
          <w:szCs w:val="22"/>
        </w:rPr>
        <w:t>[1]</w:t>
      </w:r>
      <w:r>
        <w:rPr>
          <w:rFonts w:asciiTheme="minorHAnsi" w:eastAsiaTheme="minorEastAsia" w:hAnsiTheme="minorHAnsi" w:cstheme="minorBidi"/>
          <w:color w:val="auto"/>
          <w:sz w:val="22"/>
          <w:szCs w:val="22"/>
        </w:rPr>
        <w:t xml:space="preserve">, we </w:t>
      </w:r>
      <w:r w:rsidR="005F1A2C">
        <w:rPr>
          <w:rFonts w:asciiTheme="minorHAnsi" w:eastAsiaTheme="minorEastAsia" w:hAnsiTheme="minorHAnsi" w:cstheme="minorBidi"/>
          <w:color w:val="auto"/>
          <w:sz w:val="22"/>
          <w:szCs w:val="22"/>
        </w:rPr>
        <w:t>brought</w:t>
      </w:r>
      <w:r w:rsidR="00416773">
        <w:rPr>
          <w:rFonts w:asciiTheme="minorHAnsi" w:eastAsiaTheme="minorEastAsia" w:hAnsiTheme="minorHAnsi" w:cstheme="minorBidi"/>
          <w:color w:val="auto"/>
          <w:sz w:val="22"/>
          <w:szCs w:val="22"/>
        </w:rPr>
        <w:t xml:space="preserve"> a new issue on the inter-action between 2 features: CSI-RS L3 measurement and URLLC. To serve URLLC UEs with a very low latency requirement, network may have to over-write some REs already scheduled to non-URLLC UEs by URLLC data. Then, the technique called ‘pre-emption’ could be used to inform those non-URLLC UEs about some REs that were over-written and can be discarded in</w:t>
      </w:r>
      <w:r w:rsidR="00643E9E">
        <w:rPr>
          <w:rFonts w:asciiTheme="minorHAnsi" w:eastAsiaTheme="minorEastAsia" w:hAnsiTheme="minorHAnsi" w:cstheme="minorBidi"/>
          <w:color w:val="auto"/>
          <w:sz w:val="22"/>
          <w:szCs w:val="22"/>
        </w:rPr>
        <w:t xml:space="preserve"> later decoding process. In current RAN1 spec TS38.213, it has clearly specified that SSB cannot be pre-empted. However, CSI-RS for L3 measurement was not mentioned. </w:t>
      </w:r>
    </w:p>
    <w:p w14:paraId="39D6686B" w14:textId="1214CD74" w:rsidR="005F1A2C" w:rsidRDefault="005F1A2C" w:rsidP="005F1A2C">
      <w:pPr>
        <w:pStyle w:val="Default"/>
        <w:spacing w:after="120"/>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In last RAN4 meeting, this issue was discussed with options captured in the WF [2] as follows:</w:t>
      </w:r>
    </w:p>
    <w:tbl>
      <w:tblPr>
        <w:tblStyle w:val="TableGrid"/>
        <w:tblW w:w="0" w:type="auto"/>
        <w:tblLook w:val="04A0" w:firstRow="1" w:lastRow="0" w:firstColumn="1" w:lastColumn="0" w:noHBand="0" w:noVBand="1"/>
      </w:tblPr>
      <w:tblGrid>
        <w:gridCol w:w="9629"/>
      </w:tblGrid>
      <w:tr w:rsidR="005F1A2C" w14:paraId="50ADA5E1" w14:textId="77777777" w:rsidTr="005F1A2C">
        <w:tc>
          <w:tcPr>
            <w:tcW w:w="9629" w:type="dxa"/>
          </w:tcPr>
          <w:p w14:paraId="19A8606E" w14:textId="77777777" w:rsidR="00A109B2" w:rsidRPr="005F1A2C" w:rsidRDefault="00520C9F" w:rsidP="005F1A2C">
            <w:pPr>
              <w:pStyle w:val="Default"/>
              <w:numPr>
                <w:ilvl w:val="0"/>
                <w:numId w:val="21"/>
              </w:numPr>
              <w:spacing w:after="120"/>
              <w:jc w:val="both"/>
              <w:rPr>
                <w:rFonts w:asciiTheme="minorHAnsi" w:eastAsiaTheme="minorEastAsia" w:hAnsiTheme="minorHAnsi" w:cstheme="minorBidi"/>
                <w:color w:val="auto"/>
                <w:sz w:val="22"/>
                <w:szCs w:val="22"/>
              </w:rPr>
            </w:pPr>
            <w:r w:rsidRPr="005F1A2C">
              <w:rPr>
                <w:rFonts w:asciiTheme="minorHAnsi" w:eastAsiaTheme="minorEastAsia" w:hAnsiTheme="minorHAnsi" w:cstheme="minorBidi"/>
                <w:color w:val="auto"/>
                <w:sz w:val="22"/>
                <w:szCs w:val="22"/>
              </w:rPr>
              <w:t>Option 1: The indication by the DCI format 2_1 is not applicable to receptions of CSI-RS for L3 measurement.</w:t>
            </w:r>
          </w:p>
          <w:p w14:paraId="6B880DF0" w14:textId="77777777" w:rsidR="00A109B2" w:rsidRPr="005F1A2C" w:rsidRDefault="00520C9F" w:rsidP="005F1A2C">
            <w:pPr>
              <w:pStyle w:val="Default"/>
              <w:numPr>
                <w:ilvl w:val="1"/>
                <w:numId w:val="21"/>
              </w:numPr>
              <w:spacing w:after="120"/>
              <w:jc w:val="both"/>
              <w:rPr>
                <w:rFonts w:asciiTheme="minorHAnsi" w:eastAsiaTheme="minorEastAsia" w:hAnsiTheme="minorHAnsi" w:cstheme="minorBidi"/>
                <w:color w:val="auto"/>
                <w:sz w:val="22"/>
                <w:szCs w:val="22"/>
              </w:rPr>
            </w:pPr>
            <w:r w:rsidRPr="005F1A2C">
              <w:rPr>
                <w:rFonts w:asciiTheme="minorHAnsi" w:eastAsiaTheme="minorEastAsia" w:hAnsiTheme="minorHAnsi" w:cstheme="minorBidi"/>
                <w:color w:val="auto"/>
                <w:sz w:val="22"/>
                <w:szCs w:val="22"/>
              </w:rPr>
              <w:t>FFS whether to send LS to RAN1</w:t>
            </w:r>
          </w:p>
          <w:p w14:paraId="5D8B8FF2" w14:textId="77777777" w:rsidR="00A109B2" w:rsidRPr="005F1A2C" w:rsidRDefault="00520C9F" w:rsidP="005F1A2C">
            <w:pPr>
              <w:pStyle w:val="Default"/>
              <w:numPr>
                <w:ilvl w:val="0"/>
                <w:numId w:val="21"/>
              </w:numPr>
              <w:spacing w:after="120"/>
              <w:jc w:val="both"/>
              <w:rPr>
                <w:rFonts w:asciiTheme="minorHAnsi" w:eastAsiaTheme="minorEastAsia" w:hAnsiTheme="minorHAnsi" w:cstheme="minorBidi"/>
                <w:color w:val="auto"/>
                <w:sz w:val="22"/>
                <w:szCs w:val="22"/>
              </w:rPr>
            </w:pPr>
            <w:r w:rsidRPr="005F1A2C">
              <w:rPr>
                <w:rFonts w:asciiTheme="minorHAnsi" w:eastAsiaTheme="minorEastAsia" w:hAnsiTheme="minorHAnsi" w:cstheme="minorBidi"/>
                <w:color w:val="auto"/>
                <w:sz w:val="22"/>
                <w:szCs w:val="22"/>
              </w:rPr>
              <w:t>Option 2: RAN4 wait for RAN1’s design on the pre-emption principle.</w:t>
            </w:r>
          </w:p>
          <w:p w14:paraId="79586F2A" w14:textId="761F7603" w:rsidR="005F1A2C" w:rsidRDefault="00520C9F" w:rsidP="005F1A2C">
            <w:pPr>
              <w:pStyle w:val="Default"/>
              <w:numPr>
                <w:ilvl w:val="0"/>
                <w:numId w:val="21"/>
              </w:numPr>
              <w:spacing w:after="120"/>
              <w:jc w:val="both"/>
              <w:rPr>
                <w:rFonts w:asciiTheme="minorHAnsi" w:eastAsiaTheme="minorEastAsia" w:hAnsiTheme="minorHAnsi" w:cstheme="minorBidi"/>
                <w:color w:val="auto"/>
                <w:sz w:val="22"/>
                <w:szCs w:val="22"/>
              </w:rPr>
            </w:pPr>
            <w:r w:rsidRPr="005F1A2C">
              <w:rPr>
                <w:rFonts w:asciiTheme="minorHAnsi" w:eastAsiaTheme="minorEastAsia" w:hAnsiTheme="minorHAnsi" w:cstheme="minorBidi"/>
                <w:color w:val="auto"/>
                <w:sz w:val="22"/>
                <w:szCs w:val="22"/>
              </w:rPr>
              <w:t>Other option is not precluded</w:t>
            </w:r>
          </w:p>
        </w:tc>
      </w:tr>
    </w:tbl>
    <w:p w14:paraId="5875E478" w14:textId="0307D0EB" w:rsidR="002944C1" w:rsidRPr="00842EE0" w:rsidRDefault="005F1A2C" w:rsidP="005F1A2C">
      <w:pPr>
        <w:pStyle w:val="Default"/>
        <w:spacing w:after="120"/>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In this paper</w:t>
      </w:r>
      <w:r w:rsidR="00643E9E">
        <w:rPr>
          <w:rFonts w:asciiTheme="minorHAnsi" w:eastAsiaTheme="minorEastAsia" w:hAnsiTheme="minorHAnsi" w:cstheme="minorBidi"/>
          <w:color w:val="auto"/>
          <w:sz w:val="22"/>
          <w:szCs w:val="22"/>
        </w:rPr>
        <w:t>, we discuss this issue.</w:t>
      </w:r>
      <w:r w:rsidR="00416773">
        <w:rPr>
          <w:rFonts w:asciiTheme="minorHAnsi" w:eastAsiaTheme="minorEastAsia" w:hAnsiTheme="minorHAnsi" w:cstheme="minorBidi"/>
          <w:color w:val="auto"/>
          <w:sz w:val="22"/>
          <w:szCs w:val="22"/>
        </w:rPr>
        <w:t xml:space="preserve"> </w:t>
      </w:r>
    </w:p>
    <w:p w14:paraId="15570B2A" w14:textId="6725008E" w:rsidR="00486D1A" w:rsidRDefault="00974EE8" w:rsidP="008F1284">
      <w:pPr>
        <w:pStyle w:val="Heading1"/>
        <w:numPr>
          <w:ilvl w:val="0"/>
          <w:numId w:val="1"/>
        </w:numPr>
        <w:rPr>
          <w:rFonts w:ascii="Calibri" w:hAnsi="Calibri"/>
        </w:rPr>
      </w:pPr>
      <w:r>
        <w:rPr>
          <w:rFonts w:ascii="Calibri" w:hAnsi="Calibri"/>
        </w:rPr>
        <w:t>Discussion</w:t>
      </w:r>
    </w:p>
    <w:p w14:paraId="6AD798E4" w14:textId="0CFD84AD" w:rsidR="00C16412" w:rsidRDefault="00643E9E" w:rsidP="00DE5D2C">
      <w:pPr>
        <w:pStyle w:val="Caption"/>
        <w:jc w:val="both"/>
        <w:rPr>
          <w:b w:val="0"/>
          <w:sz w:val="22"/>
          <w:szCs w:val="22"/>
          <w:lang w:val="en-US" w:eastAsia="zh-CN"/>
        </w:rPr>
      </w:pPr>
      <w:r w:rsidRPr="00643E9E">
        <w:rPr>
          <w:b w:val="0"/>
          <w:sz w:val="22"/>
          <w:szCs w:val="22"/>
          <w:lang w:val="en-US" w:eastAsia="zh-CN"/>
        </w:rPr>
        <w:t>Pre-emption is a mechanism to tell UE which REs was actually over-written by URLLC signals, after the REs were transmitted. A pre-emption indication will be broadcasted to UEs in the same serving cell</w:t>
      </w:r>
      <w:r>
        <w:rPr>
          <w:b w:val="0"/>
          <w:sz w:val="22"/>
          <w:szCs w:val="22"/>
          <w:lang w:val="en-US" w:eastAsia="zh-CN"/>
        </w:rPr>
        <w:t xml:space="preserve"> through DCI format 2_1 with INT-RNTI, as captured below from TS38.212.</w:t>
      </w:r>
    </w:p>
    <w:tbl>
      <w:tblPr>
        <w:tblStyle w:val="TableGrid"/>
        <w:tblW w:w="0" w:type="auto"/>
        <w:tblInd w:w="421" w:type="dxa"/>
        <w:tblLook w:val="04A0" w:firstRow="1" w:lastRow="0" w:firstColumn="1" w:lastColumn="0" w:noHBand="0" w:noVBand="1"/>
      </w:tblPr>
      <w:tblGrid>
        <w:gridCol w:w="8646"/>
      </w:tblGrid>
      <w:tr w:rsidR="00643E9E" w14:paraId="164D7476" w14:textId="77777777" w:rsidTr="00643E9E">
        <w:tc>
          <w:tcPr>
            <w:tcW w:w="8646" w:type="dxa"/>
          </w:tcPr>
          <w:p w14:paraId="77060FC0" w14:textId="77777777" w:rsidR="00643E9E" w:rsidRPr="005F1A2C" w:rsidRDefault="00643E9E" w:rsidP="00643E9E">
            <w:pPr>
              <w:pStyle w:val="Heading5"/>
              <w:spacing w:before="0" w:after="0"/>
              <w:rPr>
                <w:sz w:val="20"/>
                <w:lang w:eastAsia="zh-CN"/>
              </w:rPr>
            </w:pPr>
            <w:bookmarkStart w:id="1" w:name="_Toc19798782"/>
            <w:bookmarkStart w:id="2" w:name="_Toc26467253"/>
            <w:r w:rsidRPr="005F1A2C">
              <w:rPr>
                <w:rFonts w:hint="eastAsia"/>
                <w:sz w:val="20"/>
                <w:lang w:eastAsia="zh-CN"/>
              </w:rPr>
              <w:t>7.3.1.3.2</w:t>
            </w:r>
            <w:r w:rsidRPr="005F1A2C">
              <w:rPr>
                <w:rFonts w:hint="eastAsia"/>
                <w:sz w:val="20"/>
                <w:lang w:eastAsia="zh-CN"/>
              </w:rPr>
              <w:tab/>
              <w:t>Format 2_1</w:t>
            </w:r>
            <w:bookmarkEnd w:id="1"/>
            <w:bookmarkEnd w:id="2"/>
          </w:p>
          <w:p w14:paraId="3E97392D" w14:textId="77777777" w:rsidR="00643E9E" w:rsidRPr="005F1A2C" w:rsidRDefault="00643E9E" w:rsidP="00643E9E">
            <w:pPr>
              <w:spacing w:after="0"/>
              <w:rPr>
                <w:sz w:val="20"/>
                <w:szCs w:val="18"/>
              </w:rPr>
            </w:pPr>
            <w:r w:rsidRPr="005F1A2C">
              <w:rPr>
                <w:sz w:val="20"/>
                <w:szCs w:val="18"/>
              </w:rPr>
              <w:t xml:space="preserve">DCI format </w:t>
            </w:r>
            <w:r w:rsidRPr="005F1A2C">
              <w:rPr>
                <w:rFonts w:hint="eastAsia"/>
                <w:sz w:val="20"/>
                <w:szCs w:val="18"/>
              </w:rPr>
              <w:t xml:space="preserve">2_1 </w:t>
            </w:r>
            <w:r w:rsidRPr="005F1A2C">
              <w:rPr>
                <w:sz w:val="20"/>
                <w:szCs w:val="18"/>
              </w:rPr>
              <w:t xml:space="preserve">is used for </w:t>
            </w:r>
            <w:r w:rsidRPr="005F1A2C">
              <w:rPr>
                <w:rFonts w:hint="eastAsia"/>
                <w:sz w:val="20"/>
                <w:szCs w:val="18"/>
              </w:rPr>
              <w:t>notifying the PRB(s) and OFDM symbol(s) where UE may assume no transmission is intended for the UE</w:t>
            </w:r>
            <w:r w:rsidRPr="005F1A2C">
              <w:rPr>
                <w:sz w:val="20"/>
                <w:szCs w:val="18"/>
              </w:rPr>
              <w:t xml:space="preserve">. </w:t>
            </w:r>
          </w:p>
          <w:p w14:paraId="4A795A13" w14:textId="77777777" w:rsidR="00643E9E" w:rsidRPr="005F1A2C" w:rsidRDefault="00643E9E" w:rsidP="00643E9E">
            <w:pPr>
              <w:spacing w:after="0"/>
              <w:rPr>
                <w:sz w:val="20"/>
                <w:szCs w:val="18"/>
              </w:rPr>
            </w:pPr>
            <w:r w:rsidRPr="005F1A2C">
              <w:rPr>
                <w:sz w:val="20"/>
                <w:szCs w:val="18"/>
              </w:rPr>
              <w:t xml:space="preserve">The following information is transmitted by means of the DCI format </w:t>
            </w:r>
            <w:r w:rsidRPr="005F1A2C">
              <w:rPr>
                <w:rFonts w:hint="eastAsia"/>
                <w:sz w:val="20"/>
                <w:szCs w:val="18"/>
              </w:rPr>
              <w:t>2_1 with CRC scrambled by INT-RNTI</w:t>
            </w:r>
            <w:r w:rsidRPr="005F1A2C">
              <w:rPr>
                <w:sz w:val="20"/>
                <w:szCs w:val="18"/>
              </w:rPr>
              <w:t>:</w:t>
            </w:r>
          </w:p>
          <w:p w14:paraId="2C8165DE" w14:textId="77777777" w:rsidR="00643E9E" w:rsidRPr="005F1A2C" w:rsidRDefault="00643E9E" w:rsidP="00643E9E">
            <w:pPr>
              <w:pStyle w:val="B1"/>
              <w:spacing w:after="0"/>
              <w:rPr>
                <w:szCs w:val="18"/>
                <w:lang w:eastAsia="zh-CN"/>
              </w:rPr>
            </w:pPr>
            <w:r w:rsidRPr="005F1A2C">
              <w:rPr>
                <w:szCs w:val="18"/>
              </w:rPr>
              <w:t>-</w:t>
            </w:r>
            <w:r w:rsidRPr="005F1A2C">
              <w:rPr>
                <w:szCs w:val="18"/>
              </w:rPr>
              <w:tab/>
            </w:r>
            <w:r w:rsidRPr="005F1A2C">
              <w:rPr>
                <w:rFonts w:hint="eastAsia"/>
                <w:szCs w:val="18"/>
                <w:lang w:eastAsia="zh-CN"/>
              </w:rPr>
              <w:t xml:space="preserve">Pre-emption indication 1, Pre-emption indication 2, </w:t>
            </w:r>
            <w:r w:rsidRPr="005F1A2C">
              <w:rPr>
                <w:szCs w:val="18"/>
                <w:lang w:eastAsia="zh-CN"/>
              </w:rPr>
              <w:t>…</w:t>
            </w:r>
            <w:r w:rsidRPr="005F1A2C">
              <w:rPr>
                <w:rFonts w:hint="eastAsia"/>
                <w:szCs w:val="18"/>
                <w:lang w:eastAsia="zh-CN"/>
              </w:rPr>
              <w:t xml:space="preserve">, Pre-emption indication </w:t>
            </w:r>
            <w:r w:rsidRPr="005F1A2C">
              <w:rPr>
                <w:rFonts w:hint="eastAsia"/>
                <w:i/>
                <w:szCs w:val="18"/>
                <w:lang w:eastAsia="zh-CN"/>
              </w:rPr>
              <w:t>N</w:t>
            </w:r>
            <w:r w:rsidRPr="005F1A2C">
              <w:rPr>
                <w:rFonts w:hint="eastAsia"/>
                <w:szCs w:val="18"/>
                <w:lang w:eastAsia="zh-CN"/>
              </w:rPr>
              <w:t xml:space="preserve">. </w:t>
            </w:r>
          </w:p>
          <w:p w14:paraId="7BE188E3" w14:textId="24AF206A" w:rsidR="00643E9E" w:rsidRDefault="00643E9E" w:rsidP="00643E9E">
            <w:pPr>
              <w:spacing w:after="0"/>
            </w:pPr>
            <w:r w:rsidRPr="005F1A2C">
              <w:rPr>
                <w:rFonts w:hint="eastAsia"/>
                <w:sz w:val="20"/>
                <w:szCs w:val="18"/>
              </w:rPr>
              <w:t xml:space="preserve">The size of DCI </w:t>
            </w:r>
            <w:r w:rsidRPr="005F1A2C">
              <w:rPr>
                <w:sz w:val="20"/>
                <w:szCs w:val="18"/>
              </w:rPr>
              <w:t>format</w:t>
            </w:r>
            <w:r w:rsidRPr="005F1A2C">
              <w:rPr>
                <w:rFonts w:hint="eastAsia"/>
                <w:sz w:val="20"/>
                <w:szCs w:val="18"/>
              </w:rPr>
              <w:t xml:space="preserve"> 2_1 is configurable by higher layers up to 126 bits, according to Subclause 11.2 of [5, TS</w:t>
            </w:r>
            <w:r w:rsidRPr="005F1A2C">
              <w:rPr>
                <w:sz w:val="20"/>
                <w:szCs w:val="18"/>
              </w:rPr>
              <w:t xml:space="preserve"> </w:t>
            </w:r>
            <w:r w:rsidRPr="005F1A2C">
              <w:rPr>
                <w:rFonts w:hint="eastAsia"/>
                <w:sz w:val="20"/>
                <w:szCs w:val="18"/>
              </w:rPr>
              <w:t>38.213]. Each pre-emption indication is 14 bits.</w:t>
            </w:r>
          </w:p>
        </w:tc>
      </w:tr>
    </w:tbl>
    <w:p w14:paraId="312B563D" w14:textId="77777777" w:rsidR="00643E9E" w:rsidRDefault="00643E9E" w:rsidP="00643E9E"/>
    <w:p w14:paraId="6892F547" w14:textId="2B4948ED" w:rsidR="00643E9E" w:rsidRPr="00643E9E" w:rsidRDefault="00643E9E" w:rsidP="005D6F5D">
      <w:pPr>
        <w:jc w:val="both"/>
      </w:pPr>
      <w:r>
        <w:t>The detail</w:t>
      </w:r>
      <w:r w:rsidR="00802DEE">
        <w:t>ed</w:t>
      </w:r>
      <w:r w:rsidR="001E590F">
        <w:t xml:space="preserve"> </w:t>
      </w:r>
      <w:r w:rsidR="005D6F5D">
        <w:t xml:space="preserve">UE procedures in </w:t>
      </w:r>
      <w:r>
        <w:t>physical</w:t>
      </w:r>
      <w:r w:rsidR="005D6F5D">
        <w:t xml:space="preserve"> layers are described in TS38.213. We will not mention th</w:t>
      </w:r>
      <w:r w:rsidR="00526EC4">
        <w:t>os</w:t>
      </w:r>
      <w:r w:rsidR="005D6F5D">
        <w:t>e detail</w:t>
      </w:r>
      <w:r w:rsidR="005A06E8">
        <w:t>s</w:t>
      </w:r>
      <w:r w:rsidR="005D6F5D">
        <w:t xml:space="preserve"> in this paper, but only highlight one thing related to SSB. In TS38.213, it has clearly specified that the SSB cannot be pre-empted.</w:t>
      </w:r>
    </w:p>
    <w:tbl>
      <w:tblPr>
        <w:tblStyle w:val="TableGrid"/>
        <w:tblW w:w="0" w:type="auto"/>
        <w:tblInd w:w="421" w:type="dxa"/>
        <w:tblLook w:val="04A0" w:firstRow="1" w:lastRow="0" w:firstColumn="1" w:lastColumn="0" w:noHBand="0" w:noVBand="1"/>
      </w:tblPr>
      <w:tblGrid>
        <w:gridCol w:w="8646"/>
      </w:tblGrid>
      <w:tr w:rsidR="005D6F5D" w14:paraId="56CB8B8A" w14:textId="77777777" w:rsidTr="005D6F5D">
        <w:tc>
          <w:tcPr>
            <w:tcW w:w="8646" w:type="dxa"/>
          </w:tcPr>
          <w:p w14:paraId="10C2512B" w14:textId="77777777" w:rsidR="005D6F5D" w:rsidRPr="00575EC9" w:rsidRDefault="005D6F5D" w:rsidP="005D6F5D">
            <w:pPr>
              <w:pStyle w:val="Heading2"/>
              <w:spacing w:before="0" w:after="0"/>
              <w:rPr>
                <w:sz w:val="28"/>
              </w:rPr>
            </w:pPr>
            <w:bookmarkStart w:id="3" w:name="_Toc12021491"/>
            <w:bookmarkStart w:id="4" w:name="_Toc20311603"/>
            <w:r w:rsidRPr="00575EC9">
              <w:rPr>
                <w:sz w:val="28"/>
                <w:lang w:eastAsia="zh-CN"/>
              </w:rPr>
              <w:lastRenderedPageBreak/>
              <w:t>11.2</w:t>
            </w:r>
            <w:r w:rsidRPr="00575EC9">
              <w:rPr>
                <w:sz w:val="28"/>
                <w:lang w:eastAsia="zh-CN"/>
              </w:rPr>
              <w:tab/>
              <w:t>Interrupted transmission indication</w:t>
            </w:r>
            <w:bookmarkEnd w:id="3"/>
            <w:bookmarkEnd w:id="4"/>
            <w:r w:rsidRPr="00575EC9">
              <w:rPr>
                <w:sz w:val="28"/>
              </w:rPr>
              <w:t xml:space="preserve"> </w:t>
            </w:r>
          </w:p>
          <w:p w14:paraId="09B08C42" w14:textId="77777777" w:rsidR="005D6F5D" w:rsidRPr="00575EC9" w:rsidRDefault="005D6F5D" w:rsidP="005D6F5D">
            <w:pPr>
              <w:spacing w:after="0"/>
              <w:rPr>
                <w:sz w:val="20"/>
                <w:szCs w:val="20"/>
              </w:rPr>
            </w:pPr>
            <w:r w:rsidRPr="00575EC9">
              <w:rPr>
                <w:rFonts w:eastAsia="SimSun"/>
                <w:sz w:val="20"/>
                <w:szCs w:val="20"/>
              </w:rPr>
              <w:t xml:space="preserve">If a UE is provided </w:t>
            </w:r>
            <w:r w:rsidRPr="00575EC9">
              <w:rPr>
                <w:i/>
                <w:sz w:val="20"/>
                <w:szCs w:val="20"/>
              </w:rPr>
              <w:t>DownlinkPreemption</w:t>
            </w:r>
            <w:r w:rsidRPr="00575EC9">
              <w:rPr>
                <w:sz w:val="20"/>
                <w:szCs w:val="20"/>
              </w:rPr>
              <w:t xml:space="preserve">, the UE is configured with an INT-RNTI provided by </w:t>
            </w:r>
            <w:r w:rsidRPr="00575EC9">
              <w:rPr>
                <w:i/>
                <w:sz w:val="20"/>
                <w:szCs w:val="20"/>
              </w:rPr>
              <w:t>int-RNTI</w:t>
            </w:r>
            <w:r w:rsidRPr="00575EC9">
              <w:rPr>
                <w:sz w:val="20"/>
                <w:szCs w:val="20"/>
              </w:rPr>
              <w:t xml:space="preserve"> for monitoring PDCCH conveying DCI format 2_1 [5, TS 38.212]. The UE is additionally configured with</w:t>
            </w:r>
          </w:p>
          <w:p w14:paraId="550164D7" w14:textId="77777777" w:rsidR="005D6F5D" w:rsidRPr="00575EC9" w:rsidRDefault="005D6F5D" w:rsidP="005D6F5D">
            <w:pPr>
              <w:pStyle w:val="B1"/>
              <w:spacing w:after="0"/>
            </w:pPr>
            <w:r w:rsidRPr="00575EC9">
              <w:rPr>
                <w:lang w:val="en-US"/>
              </w:rPr>
              <w:t>-</w:t>
            </w:r>
            <w:r w:rsidRPr="00575EC9">
              <w:rPr>
                <w:lang w:val="en-US"/>
              </w:rPr>
              <w:tab/>
              <w:t xml:space="preserve">a set of serving cells by </w:t>
            </w:r>
            <w:r w:rsidRPr="00575EC9">
              <w:rPr>
                <w:i/>
                <w:lang w:val="en-US"/>
              </w:rPr>
              <w:t>int</w:t>
            </w:r>
            <w:r w:rsidRPr="00575EC9">
              <w:rPr>
                <w:i/>
              </w:rPr>
              <w:t>-ConfigurationPerServingCell</w:t>
            </w:r>
            <w:r w:rsidRPr="00575EC9">
              <w:rPr>
                <w:i/>
                <w:lang w:val="en-US"/>
              </w:rPr>
              <w:t xml:space="preserve"> </w:t>
            </w:r>
            <w:r w:rsidRPr="00575EC9">
              <w:rPr>
                <w:lang w:val="en-US"/>
              </w:rPr>
              <w:t xml:space="preserve">that includes a set of serving cell indexes provided by corresponding </w:t>
            </w:r>
            <w:r w:rsidRPr="00575EC9">
              <w:rPr>
                <w:i/>
              </w:rPr>
              <w:t>servingCellId</w:t>
            </w:r>
            <w:r w:rsidRPr="00575EC9" w:rsidDel="008F75A2">
              <w:rPr>
                <w:i/>
                <w:lang w:val="en-US"/>
              </w:rPr>
              <w:t xml:space="preserve"> </w:t>
            </w:r>
            <w:r w:rsidRPr="00575EC9">
              <w:rPr>
                <w:lang w:val="en-US"/>
              </w:rPr>
              <w:t xml:space="preserve">and a corresponding set of locations for fields in DCI format 2_1 by </w:t>
            </w:r>
            <w:r w:rsidRPr="00575EC9">
              <w:rPr>
                <w:i/>
              </w:rPr>
              <w:t>positionInDCI</w:t>
            </w:r>
          </w:p>
          <w:p w14:paraId="31867408" w14:textId="77777777" w:rsidR="005D6F5D" w:rsidRPr="00575EC9" w:rsidRDefault="005D6F5D" w:rsidP="005D6F5D">
            <w:pPr>
              <w:pStyle w:val="B1"/>
              <w:spacing w:after="0"/>
            </w:pPr>
            <w:r w:rsidRPr="00575EC9">
              <w:rPr>
                <w:lang w:val="en-US"/>
              </w:rPr>
              <w:t>-</w:t>
            </w:r>
            <w:r w:rsidRPr="00575EC9">
              <w:rPr>
                <w:lang w:val="en-US"/>
              </w:rPr>
              <w:tab/>
              <w:t xml:space="preserve">an information payload size for DCI format 2_1 by </w:t>
            </w:r>
            <w:r w:rsidRPr="00575EC9">
              <w:rPr>
                <w:i/>
              </w:rPr>
              <w:t>dci-PayloadSize</w:t>
            </w:r>
          </w:p>
          <w:p w14:paraId="0E1E2E47" w14:textId="77777777" w:rsidR="005D6F5D" w:rsidRPr="00575EC9" w:rsidRDefault="005D6F5D" w:rsidP="005D6F5D">
            <w:pPr>
              <w:pStyle w:val="B1"/>
              <w:spacing w:after="0"/>
            </w:pPr>
            <w:r w:rsidRPr="00575EC9">
              <w:rPr>
                <w:lang w:val="en-US"/>
              </w:rPr>
              <w:t>-</w:t>
            </w:r>
            <w:r w:rsidRPr="00575EC9">
              <w:rPr>
                <w:lang w:val="en-US"/>
              </w:rPr>
              <w:tab/>
              <w:t xml:space="preserve">an indication granularity for time-frequency resources by </w:t>
            </w:r>
            <w:r w:rsidRPr="00575EC9">
              <w:rPr>
                <w:i/>
              </w:rPr>
              <w:t>timeFrequencySet</w:t>
            </w:r>
          </w:p>
          <w:p w14:paraId="63C6A597" w14:textId="17F32F73" w:rsidR="005D6F5D" w:rsidRDefault="005D6F5D" w:rsidP="005D6F5D">
            <w:pPr>
              <w:spacing w:after="0"/>
              <w:rPr>
                <w:lang w:eastAsia="x-none"/>
              </w:rPr>
            </w:pPr>
            <w:r w:rsidRPr="00575EC9">
              <w:rPr>
                <w:rFonts w:eastAsia="MS Mincho"/>
                <w:sz w:val="20"/>
                <w:szCs w:val="20"/>
              </w:rPr>
              <w:t>I</w:t>
            </w:r>
            <w:r w:rsidRPr="00575EC9">
              <w:rPr>
                <w:rFonts w:eastAsia="SimSun"/>
                <w:sz w:val="20"/>
                <w:szCs w:val="20"/>
              </w:rPr>
              <w:t xml:space="preserve">f a UE detects a DCI format 2_1 for a serving cell from the configured set of serving cells, the UE may assume that no transmission to the UE is present in PRBs and in symbols that are indicated by the DCI format 2_1, from a set of PRBs and a set of symbols of the last monitoring period. </w:t>
            </w:r>
            <w:r w:rsidRPr="00575EC9">
              <w:rPr>
                <w:rFonts w:eastAsia="SimSun"/>
                <w:sz w:val="20"/>
                <w:szCs w:val="20"/>
                <w:highlight w:val="yellow"/>
              </w:rPr>
              <w:t>The indication by the DCI format 2_1 is not applicable to receptions of SS/PBCH blocks</w:t>
            </w:r>
            <w:r w:rsidRPr="00575EC9">
              <w:rPr>
                <w:rFonts w:eastAsia="SimSun"/>
                <w:sz w:val="20"/>
                <w:szCs w:val="20"/>
              </w:rPr>
              <w:t>.</w:t>
            </w:r>
            <w:r w:rsidRPr="005F1A2C">
              <w:rPr>
                <w:rFonts w:eastAsia="SimSun"/>
              </w:rPr>
              <w:t xml:space="preserve"> </w:t>
            </w:r>
          </w:p>
        </w:tc>
      </w:tr>
    </w:tbl>
    <w:p w14:paraId="35DE26EF" w14:textId="77777777" w:rsidR="00DF67D6" w:rsidRDefault="00DF67D6" w:rsidP="002944C1">
      <w:pPr>
        <w:rPr>
          <w:lang w:eastAsia="x-none"/>
        </w:rPr>
      </w:pPr>
    </w:p>
    <w:p w14:paraId="5B76A73B" w14:textId="299603F8" w:rsidR="00DF67D6" w:rsidRDefault="00DF67D6" w:rsidP="00DF67D6">
      <w:pPr>
        <w:jc w:val="both"/>
        <w:rPr>
          <w:lang w:eastAsia="x-none"/>
        </w:rPr>
      </w:pPr>
      <w:r>
        <w:rPr>
          <w:lang w:eastAsia="x-none"/>
        </w:rPr>
        <w:t xml:space="preserve">As we know, SSB is one very important reference signal that can be used for multiple purposes. There could be multiple reasons to </w:t>
      </w:r>
      <w:r w:rsidR="007C40CD">
        <w:rPr>
          <w:lang w:eastAsia="x-none"/>
        </w:rPr>
        <w:t>pre</w:t>
      </w:r>
      <w:r>
        <w:rPr>
          <w:lang w:eastAsia="x-none"/>
        </w:rPr>
        <w:t>clude SSB in the pre-emption. In our understanding, one of the reasons is that pre-emption on SSB would lead to one serious issue on L3 mobility. Because DCI format 2_</w:t>
      </w:r>
      <w:r w:rsidR="003153D1">
        <w:rPr>
          <w:lang w:eastAsia="x-none"/>
        </w:rPr>
        <w:t>1</w:t>
      </w:r>
      <w:r>
        <w:rPr>
          <w:lang w:eastAsia="x-none"/>
        </w:rPr>
        <w:t xml:space="preserve"> is only broadcasted within each cell, UEs in other neighboring cells have no chance to monitor it and to know whether the pre-emption happened. </w:t>
      </w:r>
      <w:r w:rsidR="00575EC9">
        <w:rPr>
          <w:lang w:eastAsia="x-none"/>
        </w:rPr>
        <w:t>Same time</w:t>
      </w:r>
      <w:r>
        <w:rPr>
          <w:lang w:eastAsia="x-none"/>
        </w:rPr>
        <w:t>, SSBs are broadcasted to not only UEs in the same cell but also UEs in neighboring cells for the purposes like cell search, measurement, handover, CGI reading, cell re-selection … etc. Therefore, SSB should never be pre-empted in order to support L3 mobility purposes.</w:t>
      </w:r>
    </w:p>
    <w:p w14:paraId="77A22D1E" w14:textId="1294DA35" w:rsidR="00DF67D6" w:rsidRDefault="00750FD0" w:rsidP="00750FD0">
      <w:pPr>
        <w:pStyle w:val="Caption"/>
      </w:pPr>
      <w:bookmarkStart w:id="5" w:name="_Ref31228914"/>
      <w:r>
        <w:t xml:space="preserve">Observation </w:t>
      </w:r>
      <w:r w:rsidR="00EA4086">
        <w:rPr>
          <w:noProof/>
        </w:rPr>
        <w:fldChar w:fldCharType="begin"/>
      </w:r>
      <w:r w:rsidR="00EA4086">
        <w:rPr>
          <w:noProof/>
        </w:rPr>
        <w:instrText xml:space="preserve"> SEQ Observation \* ARABIC </w:instrText>
      </w:r>
      <w:r w:rsidR="00EA4086">
        <w:rPr>
          <w:noProof/>
        </w:rPr>
        <w:fldChar w:fldCharType="separate"/>
      </w:r>
      <w:r w:rsidR="00CF5E5B">
        <w:rPr>
          <w:noProof/>
        </w:rPr>
        <w:t>1</w:t>
      </w:r>
      <w:r w:rsidR="00EA4086">
        <w:rPr>
          <w:noProof/>
        </w:rPr>
        <w:fldChar w:fldCharType="end"/>
      </w:r>
      <w:r>
        <w:t>: In current TS38.213</w:t>
      </w:r>
      <w:r w:rsidRPr="00750FD0">
        <w:t xml:space="preserve"> </w:t>
      </w:r>
      <w:r>
        <w:t>it has clearly specified that the SSB cannot be pre-empted.</w:t>
      </w:r>
      <w:bookmarkEnd w:id="5"/>
      <w:r>
        <w:t xml:space="preserve"> </w:t>
      </w:r>
    </w:p>
    <w:p w14:paraId="7383DAEC" w14:textId="10223B1E" w:rsidR="00750FD0" w:rsidRPr="00750FD0" w:rsidRDefault="00750FD0" w:rsidP="00750FD0">
      <w:pPr>
        <w:pStyle w:val="Caption"/>
        <w:jc w:val="both"/>
      </w:pPr>
      <w:bookmarkStart w:id="6" w:name="_Ref31228915"/>
      <w:r>
        <w:t xml:space="preserve">Observation </w:t>
      </w:r>
      <w:r w:rsidR="00EA4086">
        <w:rPr>
          <w:noProof/>
        </w:rPr>
        <w:fldChar w:fldCharType="begin"/>
      </w:r>
      <w:r w:rsidR="00EA4086">
        <w:rPr>
          <w:noProof/>
        </w:rPr>
        <w:instrText xml:space="preserve"> SEQ Observation \* ARABIC </w:instrText>
      </w:r>
      <w:r w:rsidR="00EA4086">
        <w:rPr>
          <w:noProof/>
        </w:rPr>
        <w:fldChar w:fldCharType="separate"/>
      </w:r>
      <w:r w:rsidR="00CF5E5B">
        <w:rPr>
          <w:noProof/>
        </w:rPr>
        <w:t>2</w:t>
      </w:r>
      <w:r w:rsidR="00EA4086">
        <w:rPr>
          <w:noProof/>
        </w:rPr>
        <w:fldChar w:fldCharType="end"/>
      </w:r>
      <w:r>
        <w:t xml:space="preserve">: One of the reason to </w:t>
      </w:r>
      <w:r w:rsidR="007C40CD">
        <w:t>pre</w:t>
      </w:r>
      <w:r>
        <w:t>clude SSBs in the pre-emption is that SSBs are also required by neighboring cells UEs for L3 mobility purposes. These UEs are not able to monitor DCI format 2_</w:t>
      </w:r>
      <w:r w:rsidR="003153D1">
        <w:t>1</w:t>
      </w:r>
      <w:r>
        <w:t xml:space="preserve"> </w:t>
      </w:r>
      <w:r w:rsidR="007C40CD">
        <w:t>from</w:t>
      </w:r>
      <w:r>
        <w:t xml:space="preserve"> their neighboring cells.</w:t>
      </w:r>
      <w:bookmarkEnd w:id="6"/>
    </w:p>
    <w:p w14:paraId="0769C382" w14:textId="77777777" w:rsidR="00750FD0" w:rsidRDefault="00750FD0" w:rsidP="00DF67D6">
      <w:pPr>
        <w:jc w:val="both"/>
        <w:rPr>
          <w:lang w:val="x-none" w:eastAsia="x-none"/>
        </w:rPr>
      </w:pPr>
    </w:p>
    <w:p w14:paraId="43E5C570" w14:textId="7183AF5E" w:rsidR="00DF67D6" w:rsidRDefault="00750FD0" w:rsidP="00DF67D6">
      <w:pPr>
        <w:jc w:val="both"/>
        <w:rPr>
          <w:lang w:val="x-none" w:eastAsia="x-none"/>
        </w:rPr>
      </w:pPr>
      <w:r>
        <w:rPr>
          <w:lang w:val="x-none" w:eastAsia="x-none"/>
        </w:rPr>
        <w:t xml:space="preserve">Same issue happens for CSI-RS for L3 measurement. As illustrated in </w:t>
      </w:r>
      <w:r w:rsidR="00575EC9">
        <w:rPr>
          <w:lang w:val="x-none" w:eastAsia="x-none"/>
        </w:rPr>
        <w:fldChar w:fldCharType="begin"/>
      </w:r>
      <w:r w:rsidR="00575EC9">
        <w:rPr>
          <w:lang w:val="x-none" w:eastAsia="x-none"/>
        </w:rPr>
        <w:instrText xml:space="preserve"> REF _Ref37370748 \h </w:instrText>
      </w:r>
      <w:r w:rsidR="00575EC9">
        <w:rPr>
          <w:lang w:val="x-none" w:eastAsia="x-none"/>
        </w:rPr>
      </w:r>
      <w:r w:rsidR="00575EC9">
        <w:rPr>
          <w:lang w:val="x-none" w:eastAsia="x-none"/>
        </w:rPr>
        <w:fldChar w:fldCharType="separate"/>
      </w:r>
      <w:r w:rsidR="00CF5E5B">
        <w:t xml:space="preserve">Figure </w:t>
      </w:r>
      <w:r w:rsidR="00CF5E5B">
        <w:rPr>
          <w:noProof/>
        </w:rPr>
        <w:t>1</w:t>
      </w:r>
      <w:r w:rsidR="00575EC9">
        <w:rPr>
          <w:lang w:val="x-none" w:eastAsia="x-none"/>
        </w:rPr>
        <w:fldChar w:fldCharType="end"/>
      </w:r>
      <w:r w:rsidR="00575EC9">
        <w:rPr>
          <w:lang w:eastAsia="x-none"/>
        </w:rPr>
        <w:t xml:space="preserve">, </w:t>
      </w:r>
      <w:r w:rsidR="000D0640">
        <w:rPr>
          <w:lang w:val="x-none" w:eastAsia="x-none"/>
        </w:rPr>
        <w:t>a</w:t>
      </w:r>
      <w:r>
        <w:rPr>
          <w:lang w:val="x-none" w:eastAsia="x-none"/>
        </w:rPr>
        <w:t xml:space="preserve"> UE in Cell#2 has to measure CSI-RS transmitted from Cell#1, but is not able to read DCI format 2_</w:t>
      </w:r>
      <w:r w:rsidR="003153D1">
        <w:rPr>
          <w:lang w:val="x-none" w:eastAsia="x-none"/>
        </w:rPr>
        <w:t>1</w:t>
      </w:r>
      <w:r>
        <w:rPr>
          <w:lang w:val="x-none" w:eastAsia="x-none"/>
        </w:rPr>
        <w:t xml:space="preserve"> broadcasted by Cell#1. Therefore, this UE has no idea about the pre-emption on CSI-RS and may tried to measure the RSRP from some signals other than CSI-RS. When this happens, </w:t>
      </w:r>
      <w:r w:rsidR="00DA7CC0">
        <w:rPr>
          <w:lang w:eastAsia="x-none"/>
        </w:rPr>
        <w:t>UE’s measurement results becomes useless and network may make the wrong decision in handover, PSCell addition or SCell activation based on UE’s report</w:t>
      </w:r>
      <w:r>
        <w:rPr>
          <w:lang w:val="x-none" w:eastAsia="x-none"/>
        </w:rPr>
        <w:t xml:space="preserve">. </w:t>
      </w:r>
      <w:r w:rsidR="007C40CD">
        <w:rPr>
          <w:lang w:val="x-none" w:eastAsia="x-none"/>
        </w:rPr>
        <w:t xml:space="preserve">However, TS38.213 only precludes SSB, </w:t>
      </w:r>
      <w:r w:rsidR="00DA7CC0">
        <w:rPr>
          <w:lang w:eastAsia="x-none"/>
        </w:rPr>
        <w:t>leaving the risk on</w:t>
      </w:r>
      <w:r w:rsidR="007C40CD">
        <w:rPr>
          <w:lang w:val="x-none" w:eastAsia="x-none"/>
        </w:rPr>
        <w:t xml:space="preserve"> CSI-RS for L3 measurement.</w:t>
      </w:r>
    </w:p>
    <w:p w14:paraId="3F300F69" w14:textId="49D3082B" w:rsidR="007C40CD" w:rsidRDefault="007C40CD" w:rsidP="007C40CD">
      <w:pPr>
        <w:pStyle w:val="Caption"/>
        <w:jc w:val="both"/>
      </w:pPr>
      <w:bookmarkStart w:id="7" w:name="_Ref31228916"/>
      <w:r>
        <w:t xml:space="preserve">Observation </w:t>
      </w:r>
      <w:r w:rsidR="00971A30">
        <w:rPr>
          <w:noProof/>
        </w:rPr>
        <w:fldChar w:fldCharType="begin"/>
      </w:r>
      <w:r w:rsidR="00971A30">
        <w:rPr>
          <w:noProof/>
        </w:rPr>
        <w:instrText xml:space="preserve"> SEQ Observation \* ARABIC </w:instrText>
      </w:r>
      <w:r w:rsidR="00971A30">
        <w:rPr>
          <w:noProof/>
        </w:rPr>
        <w:fldChar w:fldCharType="separate"/>
      </w:r>
      <w:r w:rsidR="00CF5E5B">
        <w:rPr>
          <w:noProof/>
        </w:rPr>
        <w:t>3</w:t>
      </w:r>
      <w:r w:rsidR="00971A30">
        <w:rPr>
          <w:noProof/>
        </w:rPr>
        <w:fldChar w:fldCharType="end"/>
      </w:r>
      <w:r>
        <w:t>: CSI-RS for L3 measurement is also required by UE in neighboring cells, but it is not precluded in TS38.213 at this moment.</w:t>
      </w:r>
      <w:bookmarkEnd w:id="7"/>
      <w:r>
        <w:t xml:space="preserve"> </w:t>
      </w:r>
    </w:p>
    <w:p w14:paraId="775C545E" w14:textId="77777777" w:rsidR="007C40CD" w:rsidRDefault="007C40CD" w:rsidP="00DF67D6">
      <w:pPr>
        <w:jc w:val="both"/>
        <w:rPr>
          <w:lang w:val="x-none" w:eastAsia="x-none"/>
        </w:rPr>
      </w:pPr>
    </w:p>
    <w:p w14:paraId="2A373AE3" w14:textId="3F5E775D" w:rsidR="00750FD0" w:rsidRDefault="00750FD0" w:rsidP="00750FD0">
      <w:pPr>
        <w:jc w:val="center"/>
        <w:rPr>
          <w:lang w:val="x-none" w:eastAsia="x-none"/>
        </w:rPr>
      </w:pPr>
      <w:r w:rsidRPr="00750FD0">
        <w:rPr>
          <w:noProof/>
          <w:lang w:eastAsia="zh-TW"/>
        </w:rPr>
        <w:drawing>
          <wp:inline distT="0" distB="0" distL="0" distR="0" wp14:anchorId="20CF78F1" wp14:editId="6F35DB5C">
            <wp:extent cx="2822954" cy="219551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24117" cy="2196417"/>
                    </a:xfrm>
                    <a:prstGeom prst="rect">
                      <a:avLst/>
                    </a:prstGeom>
                    <a:noFill/>
                    <a:ln>
                      <a:noFill/>
                    </a:ln>
                  </pic:spPr>
                </pic:pic>
              </a:graphicData>
            </a:graphic>
          </wp:inline>
        </w:drawing>
      </w:r>
    </w:p>
    <w:p w14:paraId="47BC926C" w14:textId="46142D0F" w:rsidR="00750FD0" w:rsidRDefault="00750FD0" w:rsidP="00750FD0">
      <w:pPr>
        <w:pStyle w:val="Caption"/>
        <w:jc w:val="center"/>
      </w:pPr>
      <w:bookmarkStart w:id="8" w:name="_Ref37370748"/>
      <w:r>
        <w:lastRenderedPageBreak/>
        <w:t xml:space="preserve">Figure </w:t>
      </w:r>
      <w:r w:rsidR="00EA4086">
        <w:rPr>
          <w:noProof/>
        </w:rPr>
        <w:fldChar w:fldCharType="begin"/>
      </w:r>
      <w:r w:rsidR="00EA4086">
        <w:rPr>
          <w:noProof/>
        </w:rPr>
        <w:instrText xml:space="preserve"> SEQ Figure \* ARABIC </w:instrText>
      </w:r>
      <w:r w:rsidR="00EA4086">
        <w:rPr>
          <w:noProof/>
        </w:rPr>
        <w:fldChar w:fldCharType="separate"/>
      </w:r>
      <w:r w:rsidR="00CF5E5B">
        <w:rPr>
          <w:noProof/>
        </w:rPr>
        <w:t>1</w:t>
      </w:r>
      <w:r w:rsidR="00EA4086">
        <w:rPr>
          <w:noProof/>
        </w:rPr>
        <w:fldChar w:fldCharType="end"/>
      </w:r>
      <w:bookmarkEnd w:id="8"/>
      <w:r>
        <w:t xml:space="preserve"> </w:t>
      </w:r>
      <w:r w:rsidRPr="00750FD0">
        <w:t xml:space="preserve">UEs </w:t>
      </w:r>
      <w:r w:rsidR="007C40CD">
        <w:t>has to measure CSI-RS transmitted from Cell#1 but is not able to read DCI format 2_</w:t>
      </w:r>
      <w:r w:rsidR="003153D1">
        <w:t>1</w:t>
      </w:r>
      <w:r w:rsidR="007C40CD">
        <w:t xml:space="preserve"> broadcasted by Cell#1</w:t>
      </w:r>
    </w:p>
    <w:p w14:paraId="3A8152E3" w14:textId="77777777" w:rsidR="007C40CD" w:rsidRDefault="007C40CD" w:rsidP="007C40CD">
      <w:pPr>
        <w:rPr>
          <w:lang w:val="x-none" w:eastAsia="x-none"/>
        </w:rPr>
      </w:pPr>
    </w:p>
    <w:p w14:paraId="77C42003" w14:textId="6F36FACF" w:rsidR="00321533" w:rsidRPr="00321533" w:rsidRDefault="007C40CD" w:rsidP="00321533">
      <w:pPr>
        <w:jc w:val="both"/>
        <w:rPr>
          <w:lang w:eastAsia="x-none"/>
        </w:rPr>
      </w:pPr>
      <w:r>
        <w:rPr>
          <w:lang w:val="x-none" w:eastAsia="x-none"/>
        </w:rPr>
        <w:t>To make CSI-RS for L3 measurement work properly when URLLC feature is deployed, it is very important to also preclude CSI-RS for L3 measurement in the pre-emption.</w:t>
      </w:r>
      <w:r w:rsidR="00321533">
        <w:rPr>
          <w:lang w:eastAsia="x-none"/>
        </w:rPr>
        <w:t xml:space="preserve"> In last meeting, one idea is to address this issue in RAN4 RRM spec. Theoretically, this approach also resolves the issue, but it is not recommended. In our view, TS38.213 already has already addressed the similar issue for SSB. Therefore, it is better to address this issue together with SSB in TS38.213 for spec consistency and for easier maintenance in the future. RAN4 can leave the issue on whether to revise R15 spec or R16 spec to RAN1. </w:t>
      </w:r>
    </w:p>
    <w:p w14:paraId="7A5D7127" w14:textId="36374090" w:rsidR="007C40CD" w:rsidRDefault="007C40CD" w:rsidP="007C40CD">
      <w:pPr>
        <w:pStyle w:val="Caption"/>
      </w:pPr>
      <w:bookmarkStart w:id="9" w:name="_Ref31228920"/>
      <w:r>
        <w:t xml:space="preserve">Proposal </w:t>
      </w:r>
      <w:r w:rsidR="00EA4086">
        <w:rPr>
          <w:noProof/>
        </w:rPr>
        <w:fldChar w:fldCharType="begin"/>
      </w:r>
      <w:r w:rsidR="00EA4086">
        <w:rPr>
          <w:noProof/>
        </w:rPr>
        <w:instrText xml:space="preserve"> SEQ Proposal \* ARABIC </w:instrText>
      </w:r>
      <w:r w:rsidR="00EA4086">
        <w:rPr>
          <w:noProof/>
        </w:rPr>
        <w:fldChar w:fldCharType="separate"/>
      </w:r>
      <w:r w:rsidR="00CF5E5B">
        <w:rPr>
          <w:noProof/>
        </w:rPr>
        <w:t>1</w:t>
      </w:r>
      <w:r w:rsidR="00EA4086">
        <w:rPr>
          <w:noProof/>
        </w:rPr>
        <w:fldChar w:fldCharType="end"/>
      </w:r>
      <w:r>
        <w:t xml:space="preserve">: </w:t>
      </w:r>
      <w:r w:rsidRPr="007C40CD">
        <w:t xml:space="preserve">The indication by the DCI format 2_1 is not applicable to receptions of </w:t>
      </w:r>
      <w:r>
        <w:t>CSI-RS for L3 measurement. Send an LS to RAN1 to update TS38.213.</w:t>
      </w:r>
      <w:bookmarkEnd w:id="9"/>
    </w:p>
    <w:p w14:paraId="076B86E8" w14:textId="77777777" w:rsidR="007C40CD" w:rsidRPr="007C40CD" w:rsidRDefault="007C40CD" w:rsidP="007C40CD">
      <w:pPr>
        <w:rPr>
          <w:lang w:val="x-none" w:eastAsia="x-none"/>
        </w:rPr>
      </w:pPr>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66549B52" w14:textId="7B4F440C" w:rsidR="00643E9E" w:rsidRDefault="006F7557" w:rsidP="00643E9E">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t>
      </w:r>
      <w:r w:rsidR="007C40CD">
        <w:t>we discuss the issue of pre-emption on CSI-RS for L3 measurement. We have the following observations and proposal.</w:t>
      </w:r>
    </w:p>
    <w:p w14:paraId="43C37097" w14:textId="6F704991" w:rsidR="007C40CD" w:rsidRPr="007C40CD" w:rsidRDefault="007C40CD" w:rsidP="00643E9E">
      <w:pPr>
        <w:adjustRightInd w:val="0"/>
        <w:snapToGrid w:val="0"/>
        <w:spacing w:before="180" w:after="120"/>
        <w:jc w:val="both"/>
        <w:rPr>
          <w:b/>
          <w:sz w:val="20"/>
          <w:szCs w:val="20"/>
          <w:lang w:val="x-none" w:eastAsia="x-none"/>
        </w:rPr>
      </w:pPr>
      <w:r w:rsidRPr="007C40CD">
        <w:rPr>
          <w:b/>
          <w:sz w:val="20"/>
          <w:szCs w:val="20"/>
          <w:lang w:val="x-none" w:eastAsia="x-none"/>
        </w:rPr>
        <w:fldChar w:fldCharType="begin"/>
      </w:r>
      <w:r w:rsidRPr="007C40CD">
        <w:rPr>
          <w:b/>
          <w:sz w:val="20"/>
          <w:szCs w:val="20"/>
          <w:lang w:val="x-none" w:eastAsia="x-none"/>
        </w:rPr>
        <w:instrText xml:space="preserve"> REF _Ref31228914 \h </w:instrText>
      </w:r>
      <w:r>
        <w:rPr>
          <w:b/>
          <w:sz w:val="20"/>
          <w:szCs w:val="20"/>
          <w:lang w:val="x-none" w:eastAsia="x-none"/>
        </w:rPr>
        <w:instrText xml:space="preserve"> \* MERGEFORMAT </w:instrText>
      </w:r>
      <w:r w:rsidRPr="007C40CD">
        <w:rPr>
          <w:b/>
          <w:sz w:val="20"/>
          <w:szCs w:val="20"/>
          <w:lang w:val="x-none" w:eastAsia="x-none"/>
        </w:rPr>
      </w:r>
      <w:r w:rsidRPr="007C40CD">
        <w:rPr>
          <w:b/>
          <w:sz w:val="20"/>
          <w:szCs w:val="20"/>
          <w:lang w:val="x-none" w:eastAsia="x-none"/>
        </w:rPr>
        <w:fldChar w:fldCharType="separate"/>
      </w:r>
      <w:r w:rsidR="00CF5E5B" w:rsidRPr="00CF5E5B">
        <w:rPr>
          <w:b/>
          <w:sz w:val="20"/>
          <w:szCs w:val="20"/>
          <w:lang w:val="x-none" w:eastAsia="x-none"/>
        </w:rPr>
        <w:t>Observation 1: In current TS38.213 it has clearly specified that the SSB cannot be pre-empted.</w:t>
      </w:r>
      <w:r w:rsidRPr="007C40CD">
        <w:rPr>
          <w:b/>
          <w:sz w:val="20"/>
          <w:szCs w:val="20"/>
          <w:lang w:val="x-none" w:eastAsia="x-none"/>
        </w:rPr>
        <w:fldChar w:fldCharType="end"/>
      </w:r>
    </w:p>
    <w:p w14:paraId="4A55144F" w14:textId="28BC90B0" w:rsidR="007C40CD" w:rsidRPr="007C40CD" w:rsidRDefault="007C40CD" w:rsidP="00643E9E">
      <w:pPr>
        <w:adjustRightInd w:val="0"/>
        <w:snapToGrid w:val="0"/>
        <w:spacing w:before="180" w:after="120"/>
        <w:jc w:val="both"/>
        <w:rPr>
          <w:b/>
          <w:sz w:val="20"/>
          <w:szCs w:val="20"/>
          <w:lang w:val="x-none" w:eastAsia="x-none"/>
        </w:rPr>
      </w:pPr>
      <w:r w:rsidRPr="007C40CD">
        <w:rPr>
          <w:b/>
          <w:sz w:val="20"/>
          <w:szCs w:val="20"/>
          <w:lang w:val="x-none" w:eastAsia="x-none"/>
        </w:rPr>
        <w:fldChar w:fldCharType="begin"/>
      </w:r>
      <w:r w:rsidRPr="007C40CD">
        <w:rPr>
          <w:b/>
          <w:sz w:val="20"/>
          <w:szCs w:val="20"/>
          <w:lang w:val="x-none" w:eastAsia="x-none"/>
        </w:rPr>
        <w:instrText xml:space="preserve"> REF _Ref31228915 \h </w:instrText>
      </w:r>
      <w:r>
        <w:rPr>
          <w:b/>
          <w:sz w:val="20"/>
          <w:szCs w:val="20"/>
          <w:lang w:val="x-none" w:eastAsia="x-none"/>
        </w:rPr>
        <w:instrText xml:space="preserve"> \* MERGEFORMAT </w:instrText>
      </w:r>
      <w:r w:rsidRPr="007C40CD">
        <w:rPr>
          <w:b/>
          <w:sz w:val="20"/>
          <w:szCs w:val="20"/>
          <w:lang w:val="x-none" w:eastAsia="x-none"/>
        </w:rPr>
      </w:r>
      <w:r w:rsidRPr="007C40CD">
        <w:rPr>
          <w:b/>
          <w:sz w:val="20"/>
          <w:szCs w:val="20"/>
          <w:lang w:val="x-none" w:eastAsia="x-none"/>
        </w:rPr>
        <w:fldChar w:fldCharType="separate"/>
      </w:r>
      <w:r w:rsidR="00CF5E5B" w:rsidRPr="00CF5E5B">
        <w:rPr>
          <w:b/>
          <w:sz w:val="20"/>
          <w:szCs w:val="20"/>
          <w:lang w:val="x-none" w:eastAsia="x-none"/>
        </w:rPr>
        <w:t>Observation 2: One of the reason to preclude SSBs in the pre-emption is that SSBs are also required by neighboring cells UEs for L3 mobility purposes. These UEs are not able to monitor DCI format 2_1 from their neighboring cells.</w:t>
      </w:r>
      <w:r w:rsidRPr="007C40CD">
        <w:rPr>
          <w:b/>
          <w:sz w:val="20"/>
          <w:szCs w:val="20"/>
          <w:lang w:val="x-none" w:eastAsia="x-none"/>
        </w:rPr>
        <w:fldChar w:fldCharType="end"/>
      </w:r>
    </w:p>
    <w:p w14:paraId="35C743EF" w14:textId="3FED3136" w:rsidR="007C40CD" w:rsidRPr="007C40CD" w:rsidRDefault="007C40CD" w:rsidP="00643E9E">
      <w:pPr>
        <w:adjustRightInd w:val="0"/>
        <w:snapToGrid w:val="0"/>
        <w:spacing w:before="180" w:after="120"/>
        <w:jc w:val="both"/>
        <w:rPr>
          <w:b/>
          <w:sz w:val="20"/>
          <w:szCs w:val="20"/>
          <w:lang w:val="x-none" w:eastAsia="x-none"/>
        </w:rPr>
      </w:pPr>
      <w:r w:rsidRPr="007C40CD">
        <w:rPr>
          <w:b/>
          <w:sz w:val="20"/>
          <w:szCs w:val="20"/>
          <w:lang w:val="x-none" w:eastAsia="x-none"/>
        </w:rPr>
        <w:fldChar w:fldCharType="begin"/>
      </w:r>
      <w:r w:rsidRPr="007C40CD">
        <w:rPr>
          <w:b/>
          <w:sz w:val="20"/>
          <w:szCs w:val="20"/>
          <w:lang w:val="x-none" w:eastAsia="x-none"/>
        </w:rPr>
        <w:instrText xml:space="preserve"> REF _Ref31228916 \h </w:instrText>
      </w:r>
      <w:r>
        <w:rPr>
          <w:b/>
          <w:sz w:val="20"/>
          <w:szCs w:val="20"/>
          <w:lang w:val="x-none" w:eastAsia="x-none"/>
        </w:rPr>
        <w:instrText xml:space="preserve"> \* MERGEFORMAT </w:instrText>
      </w:r>
      <w:r w:rsidRPr="007C40CD">
        <w:rPr>
          <w:b/>
          <w:sz w:val="20"/>
          <w:szCs w:val="20"/>
          <w:lang w:val="x-none" w:eastAsia="x-none"/>
        </w:rPr>
      </w:r>
      <w:r w:rsidRPr="007C40CD">
        <w:rPr>
          <w:b/>
          <w:sz w:val="20"/>
          <w:szCs w:val="20"/>
          <w:lang w:val="x-none" w:eastAsia="x-none"/>
        </w:rPr>
        <w:fldChar w:fldCharType="separate"/>
      </w:r>
      <w:r w:rsidR="00CF5E5B" w:rsidRPr="00CF5E5B">
        <w:rPr>
          <w:b/>
          <w:sz w:val="20"/>
          <w:szCs w:val="20"/>
          <w:lang w:val="x-none" w:eastAsia="x-none"/>
        </w:rPr>
        <w:t>Observation 3: CSI-RS for L3 measurement is also required by UE in neighboring cells, but it is not precluded in TS38.213 at this moment.</w:t>
      </w:r>
      <w:r w:rsidRPr="007C40CD">
        <w:rPr>
          <w:b/>
          <w:sz w:val="20"/>
          <w:szCs w:val="20"/>
          <w:lang w:val="x-none" w:eastAsia="x-none"/>
        </w:rPr>
        <w:fldChar w:fldCharType="end"/>
      </w:r>
    </w:p>
    <w:p w14:paraId="46531BBF" w14:textId="64BC47EC" w:rsidR="000204A5" w:rsidRPr="007F5072" w:rsidRDefault="007C40CD" w:rsidP="00B21192">
      <w:pPr>
        <w:adjustRightInd w:val="0"/>
        <w:snapToGrid w:val="0"/>
        <w:spacing w:before="180" w:after="120"/>
        <w:jc w:val="both"/>
        <w:rPr>
          <w:b/>
          <w:sz w:val="20"/>
          <w:szCs w:val="20"/>
          <w:lang w:eastAsia="x-none"/>
        </w:rPr>
      </w:pPr>
      <w:r w:rsidRPr="007C40CD">
        <w:rPr>
          <w:b/>
          <w:sz w:val="20"/>
          <w:szCs w:val="20"/>
          <w:lang w:val="x-none" w:eastAsia="x-none"/>
        </w:rPr>
        <w:fldChar w:fldCharType="begin"/>
      </w:r>
      <w:r w:rsidRPr="007C40CD">
        <w:rPr>
          <w:b/>
          <w:sz w:val="20"/>
          <w:szCs w:val="20"/>
          <w:lang w:val="x-none" w:eastAsia="x-none"/>
        </w:rPr>
        <w:instrText xml:space="preserve"> REF _Ref31228920 \h </w:instrText>
      </w:r>
      <w:r>
        <w:rPr>
          <w:b/>
          <w:sz w:val="20"/>
          <w:szCs w:val="20"/>
          <w:lang w:val="x-none" w:eastAsia="x-none"/>
        </w:rPr>
        <w:instrText xml:space="preserve"> \* MERGEFORMAT </w:instrText>
      </w:r>
      <w:r w:rsidRPr="007C40CD">
        <w:rPr>
          <w:b/>
          <w:sz w:val="20"/>
          <w:szCs w:val="20"/>
          <w:lang w:val="x-none" w:eastAsia="x-none"/>
        </w:rPr>
      </w:r>
      <w:r w:rsidRPr="007C40CD">
        <w:rPr>
          <w:b/>
          <w:sz w:val="20"/>
          <w:szCs w:val="20"/>
          <w:lang w:val="x-none" w:eastAsia="x-none"/>
        </w:rPr>
        <w:fldChar w:fldCharType="separate"/>
      </w:r>
      <w:r w:rsidR="00CF5E5B" w:rsidRPr="00CF5E5B">
        <w:rPr>
          <w:b/>
          <w:sz w:val="20"/>
          <w:szCs w:val="20"/>
          <w:lang w:val="x-none" w:eastAsia="x-none"/>
        </w:rPr>
        <w:t>Proposal 1: The indication by the DCI format 2_1 is not applicable to receptions of CSI-RS for L3 measurement. Send an LS to RAN1 to update TS38.213.</w:t>
      </w:r>
      <w:r w:rsidRPr="007C40CD">
        <w:rPr>
          <w:b/>
          <w:sz w:val="20"/>
          <w:szCs w:val="20"/>
          <w:lang w:val="x-none" w:eastAsia="x-none"/>
        </w:rPr>
        <w:fldChar w:fldCharType="end"/>
      </w:r>
      <w:r>
        <w:rPr>
          <w:b/>
          <w:sz w:val="20"/>
          <w:szCs w:val="20"/>
          <w:lang w:val="x-none" w:eastAsia="x-none"/>
        </w:rPr>
        <w:t xml:space="preserve"> </w:t>
      </w:r>
    </w:p>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p w14:paraId="5A7A46A0" w14:textId="4F6C9EA7" w:rsidR="005F1A2C" w:rsidRDefault="005F1A2C" w:rsidP="005F1A2C">
      <w:pPr>
        <w:rPr>
          <w:rFonts w:ascii="Calibri" w:eastAsia="新細明體" w:hAnsi="Calibri" w:cs="Arial"/>
          <w:sz w:val="24"/>
          <w:szCs w:val="24"/>
          <w:lang w:eastAsia="ja-JP"/>
        </w:rPr>
      </w:pPr>
      <w:r>
        <w:rPr>
          <w:lang w:val="en-GB" w:eastAsia="en-US"/>
        </w:rPr>
        <w:t xml:space="preserve">[1] </w:t>
      </w:r>
      <w:r>
        <w:rPr>
          <w:rFonts w:ascii="Calibri" w:eastAsia="新細明體" w:hAnsi="Calibri" w:cs="Arial"/>
          <w:sz w:val="24"/>
          <w:szCs w:val="24"/>
          <w:lang w:eastAsia="ja-JP"/>
        </w:rPr>
        <w:t>R4-2000466, “</w:t>
      </w:r>
      <w:r w:rsidRPr="005F1A2C">
        <w:rPr>
          <w:rFonts w:ascii="Calibri" w:eastAsia="新細明體" w:hAnsi="Calibri" w:cs="Arial"/>
          <w:sz w:val="24"/>
          <w:szCs w:val="24"/>
          <w:lang w:eastAsia="ja-JP"/>
        </w:rPr>
        <w:t>Discussion on pre-emption on CSI-RS for L3 measurement</w:t>
      </w:r>
      <w:r>
        <w:rPr>
          <w:rFonts w:ascii="Calibri" w:eastAsia="新細明體" w:hAnsi="Calibri" w:cs="Arial"/>
          <w:sz w:val="24"/>
          <w:szCs w:val="24"/>
          <w:lang w:eastAsia="ja-JP"/>
        </w:rPr>
        <w:t>”, MediaTek Inc.</w:t>
      </w:r>
    </w:p>
    <w:p w14:paraId="150F51C0" w14:textId="6F932D65" w:rsidR="005F1A2C" w:rsidRPr="005F1A2C" w:rsidRDefault="005F1A2C" w:rsidP="005F1A2C">
      <w:pPr>
        <w:rPr>
          <w:lang w:val="en-GB" w:eastAsia="en-US"/>
        </w:rPr>
      </w:pPr>
      <w:r>
        <w:rPr>
          <w:rFonts w:ascii="Calibri" w:eastAsia="新細明體" w:hAnsi="Calibri" w:cs="Arial"/>
          <w:sz w:val="24"/>
          <w:szCs w:val="24"/>
          <w:lang w:eastAsia="ja-JP"/>
        </w:rPr>
        <w:t xml:space="preserve">[2] </w:t>
      </w:r>
      <w:r w:rsidRPr="005F1A2C">
        <w:rPr>
          <w:rFonts w:ascii="Calibri" w:eastAsia="新細明體" w:hAnsi="Calibri" w:cs="Arial"/>
          <w:sz w:val="24"/>
          <w:szCs w:val="24"/>
          <w:lang w:eastAsia="ja-JP"/>
        </w:rPr>
        <w:t>R4-2002257</w:t>
      </w:r>
      <w:r>
        <w:rPr>
          <w:rFonts w:ascii="Calibri" w:eastAsia="新細明體" w:hAnsi="Calibri" w:cs="Arial"/>
          <w:sz w:val="24"/>
          <w:szCs w:val="24"/>
          <w:lang w:eastAsia="ja-JP"/>
        </w:rPr>
        <w:t>,</w:t>
      </w:r>
      <w:r w:rsidRPr="005F1A2C">
        <w:rPr>
          <w:rFonts w:ascii="Calibri" w:eastAsia="新細明體" w:hAnsi="Calibri" w:cs="Arial"/>
          <w:sz w:val="24"/>
          <w:szCs w:val="24"/>
          <w:lang w:eastAsia="ja-JP"/>
        </w:rPr>
        <w:t xml:space="preserve"> </w:t>
      </w:r>
      <w:r>
        <w:rPr>
          <w:rFonts w:ascii="Calibri" w:eastAsia="新細明體" w:hAnsi="Calibri" w:cs="Arial"/>
          <w:sz w:val="24"/>
          <w:szCs w:val="24"/>
          <w:lang w:eastAsia="ja-JP"/>
        </w:rPr>
        <w:t>“</w:t>
      </w:r>
      <w:r w:rsidRPr="005F1A2C">
        <w:rPr>
          <w:rFonts w:ascii="Calibri" w:eastAsia="新細明體" w:hAnsi="Calibri" w:cs="Arial"/>
          <w:sz w:val="24"/>
          <w:szCs w:val="24"/>
          <w:lang w:eastAsia="ja-JP"/>
        </w:rPr>
        <w:t>WF on CSI-RS configuration and intra/inter-frequency measurements definition for CSI-RS based L3 measurement</w:t>
      </w:r>
      <w:r>
        <w:rPr>
          <w:rFonts w:ascii="Calibri" w:eastAsia="新細明體" w:hAnsi="Calibri" w:cs="Arial"/>
          <w:sz w:val="24"/>
          <w:szCs w:val="24"/>
          <w:lang w:eastAsia="ja-JP"/>
        </w:rPr>
        <w:t xml:space="preserve">”, </w:t>
      </w:r>
      <w:r w:rsidRPr="005F1A2C">
        <w:rPr>
          <w:rFonts w:ascii="Calibri" w:eastAsia="新細明體" w:hAnsi="Calibri" w:cs="Arial"/>
          <w:sz w:val="24"/>
          <w:szCs w:val="24"/>
          <w:lang w:eastAsia="ja-JP"/>
        </w:rPr>
        <w:t>CATT</w:t>
      </w:r>
    </w:p>
    <w:sectPr w:rsidR="005F1A2C" w:rsidRPr="005F1A2C"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3EA977" w14:textId="77777777" w:rsidR="00961657" w:rsidRDefault="00961657">
      <w:r>
        <w:separator/>
      </w:r>
    </w:p>
  </w:endnote>
  <w:endnote w:type="continuationSeparator" w:id="0">
    <w:p w14:paraId="6E2645D4" w14:textId="77777777" w:rsidR="00961657" w:rsidRDefault="00961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sig w:usb0="00000003" w:usb1="00000000" w:usb2="00000000" w:usb3="00000000" w:csb0="00000001" w:csb1="00000000"/>
  </w:font>
  <w:font w:name="rtxr">
    <w:altName w:val="Times New Roman"/>
    <w:panose1 w:val="00000000000000000000"/>
    <w:charset w:val="00"/>
    <w:family w:val="roman"/>
    <w:notTrueType/>
    <w:pitch w:val="default"/>
    <w:sig w:usb0="00000003" w:usb1="00000000" w:usb2="00000000" w:usb3="00000000" w:csb0="00000001" w:csb1="00000000"/>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C45131" w14:textId="77777777" w:rsidR="00961657" w:rsidRDefault="00961657">
      <w:r>
        <w:separator/>
      </w:r>
    </w:p>
  </w:footnote>
  <w:footnote w:type="continuationSeparator" w:id="0">
    <w:p w14:paraId="27F3E847" w14:textId="77777777" w:rsidR="00961657" w:rsidRDefault="009616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96747"/>
    <w:multiLevelType w:val="hybridMultilevel"/>
    <w:tmpl w:val="9822D9A0"/>
    <w:lvl w:ilvl="0" w:tplc="AB3817F6">
      <w:numFmt w:val="bullet"/>
      <w:lvlText w:val="-"/>
      <w:lvlJc w:val="left"/>
      <w:pPr>
        <w:ind w:left="720" w:hanging="360"/>
      </w:pPr>
      <w:rPr>
        <w:rFonts w:ascii="Arial" w:eastAsia="SimSu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F4577"/>
    <w:multiLevelType w:val="hybridMultilevel"/>
    <w:tmpl w:val="454E549A"/>
    <w:lvl w:ilvl="0" w:tplc="18024A8C">
      <w:start w:val="1"/>
      <w:numFmt w:val="bullet"/>
      <w:lvlText w:val="•"/>
      <w:lvlJc w:val="left"/>
      <w:pPr>
        <w:tabs>
          <w:tab w:val="num" w:pos="360"/>
        </w:tabs>
        <w:ind w:left="360" w:hanging="360"/>
      </w:pPr>
      <w:rPr>
        <w:rFonts w:ascii="Arial" w:hAnsi="Arial" w:hint="default"/>
      </w:rPr>
    </w:lvl>
    <w:lvl w:ilvl="1" w:tplc="43CC371E">
      <w:numFmt w:val="bullet"/>
      <w:lvlText w:val="–"/>
      <w:lvlJc w:val="left"/>
      <w:pPr>
        <w:tabs>
          <w:tab w:val="num" w:pos="1080"/>
        </w:tabs>
        <w:ind w:left="1080" w:hanging="360"/>
      </w:pPr>
      <w:rPr>
        <w:rFonts w:ascii="Arial" w:hAnsi="Arial" w:hint="default"/>
      </w:rPr>
    </w:lvl>
    <w:lvl w:ilvl="2" w:tplc="FCF61920" w:tentative="1">
      <w:start w:val="1"/>
      <w:numFmt w:val="bullet"/>
      <w:lvlText w:val="•"/>
      <w:lvlJc w:val="left"/>
      <w:pPr>
        <w:tabs>
          <w:tab w:val="num" w:pos="1800"/>
        </w:tabs>
        <w:ind w:left="1800" w:hanging="360"/>
      </w:pPr>
      <w:rPr>
        <w:rFonts w:ascii="Arial" w:hAnsi="Arial" w:hint="default"/>
      </w:rPr>
    </w:lvl>
    <w:lvl w:ilvl="3" w:tplc="613CA982" w:tentative="1">
      <w:start w:val="1"/>
      <w:numFmt w:val="bullet"/>
      <w:lvlText w:val="•"/>
      <w:lvlJc w:val="left"/>
      <w:pPr>
        <w:tabs>
          <w:tab w:val="num" w:pos="2520"/>
        </w:tabs>
        <w:ind w:left="2520" w:hanging="360"/>
      </w:pPr>
      <w:rPr>
        <w:rFonts w:ascii="Arial" w:hAnsi="Arial" w:hint="default"/>
      </w:rPr>
    </w:lvl>
    <w:lvl w:ilvl="4" w:tplc="64BCD600" w:tentative="1">
      <w:start w:val="1"/>
      <w:numFmt w:val="bullet"/>
      <w:lvlText w:val="•"/>
      <w:lvlJc w:val="left"/>
      <w:pPr>
        <w:tabs>
          <w:tab w:val="num" w:pos="3240"/>
        </w:tabs>
        <w:ind w:left="3240" w:hanging="360"/>
      </w:pPr>
      <w:rPr>
        <w:rFonts w:ascii="Arial" w:hAnsi="Arial" w:hint="default"/>
      </w:rPr>
    </w:lvl>
    <w:lvl w:ilvl="5" w:tplc="45A42796" w:tentative="1">
      <w:start w:val="1"/>
      <w:numFmt w:val="bullet"/>
      <w:lvlText w:val="•"/>
      <w:lvlJc w:val="left"/>
      <w:pPr>
        <w:tabs>
          <w:tab w:val="num" w:pos="3960"/>
        </w:tabs>
        <w:ind w:left="3960" w:hanging="360"/>
      </w:pPr>
      <w:rPr>
        <w:rFonts w:ascii="Arial" w:hAnsi="Arial" w:hint="default"/>
      </w:rPr>
    </w:lvl>
    <w:lvl w:ilvl="6" w:tplc="0EFE7038" w:tentative="1">
      <w:start w:val="1"/>
      <w:numFmt w:val="bullet"/>
      <w:lvlText w:val="•"/>
      <w:lvlJc w:val="left"/>
      <w:pPr>
        <w:tabs>
          <w:tab w:val="num" w:pos="4680"/>
        </w:tabs>
        <w:ind w:left="4680" w:hanging="360"/>
      </w:pPr>
      <w:rPr>
        <w:rFonts w:ascii="Arial" w:hAnsi="Arial" w:hint="default"/>
      </w:rPr>
    </w:lvl>
    <w:lvl w:ilvl="7" w:tplc="94B8E63A" w:tentative="1">
      <w:start w:val="1"/>
      <w:numFmt w:val="bullet"/>
      <w:lvlText w:val="•"/>
      <w:lvlJc w:val="left"/>
      <w:pPr>
        <w:tabs>
          <w:tab w:val="num" w:pos="5400"/>
        </w:tabs>
        <w:ind w:left="5400" w:hanging="360"/>
      </w:pPr>
      <w:rPr>
        <w:rFonts w:ascii="Arial" w:hAnsi="Arial" w:hint="default"/>
      </w:rPr>
    </w:lvl>
    <w:lvl w:ilvl="8" w:tplc="E3C8150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36C53C9"/>
    <w:multiLevelType w:val="hybridMultilevel"/>
    <w:tmpl w:val="D0C841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6224FD"/>
    <w:multiLevelType w:val="hybridMultilevel"/>
    <w:tmpl w:val="8B18A4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6FB0665"/>
    <w:multiLevelType w:val="hybridMultilevel"/>
    <w:tmpl w:val="F9BE9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5411B9"/>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16"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A21A49"/>
    <w:multiLevelType w:val="hybridMultilevel"/>
    <w:tmpl w:val="45C045A0"/>
    <w:lvl w:ilvl="0" w:tplc="7756BAF4">
      <w:start w:val="1"/>
      <w:numFmt w:val="bullet"/>
      <w:lvlText w:val="•"/>
      <w:lvlJc w:val="left"/>
      <w:pPr>
        <w:tabs>
          <w:tab w:val="num" w:pos="720"/>
        </w:tabs>
        <w:ind w:left="720" w:hanging="360"/>
      </w:pPr>
      <w:rPr>
        <w:rFonts w:ascii="Arial" w:hAnsi="Arial" w:hint="default"/>
      </w:rPr>
    </w:lvl>
    <w:lvl w:ilvl="1" w:tplc="C6E60800" w:tentative="1">
      <w:start w:val="1"/>
      <w:numFmt w:val="bullet"/>
      <w:lvlText w:val="•"/>
      <w:lvlJc w:val="left"/>
      <w:pPr>
        <w:tabs>
          <w:tab w:val="num" w:pos="1440"/>
        </w:tabs>
        <w:ind w:left="1440" w:hanging="360"/>
      </w:pPr>
      <w:rPr>
        <w:rFonts w:ascii="Arial" w:hAnsi="Arial" w:hint="default"/>
      </w:rPr>
    </w:lvl>
    <w:lvl w:ilvl="2" w:tplc="58EA609E" w:tentative="1">
      <w:start w:val="1"/>
      <w:numFmt w:val="bullet"/>
      <w:lvlText w:val="•"/>
      <w:lvlJc w:val="left"/>
      <w:pPr>
        <w:tabs>
          <w:tab w:val="num" w:pos="2160"/>
        </w:tabs>
        <w:ind w:left="2160" w:hanging="360"/>
      </w:pPr>
      <w:rPr>
        <w:rFonts w:ascii="Arial" w:hAnsi="Arial" w:hint="default"/>
      </w:rPr>
    </w:lvl>
    <w:lvl w:ilvl="3" w:tplc="E55A34EA" w:tentative="1">
      <w:start w:val="1"/>
      <w:numFmt w:val="bullet"/>
      <w:lvlText w:val="•"/>
      <w:lvlJc w:val="left"/>
      <w:pPr>
        <w:tabs>
          <w:tab w:val="num" w:pos="2880"/>
        </w:tabs>
        <w:ind w:left="2880" w:hanging="360"/>
      </w:pPr>
      <w:rPr>
        <w:rFonts w:ascii="Arial" w:hAnsi="Arial" w:hint="default"/>
      </w:rPr>
    </w:lvl>
    <w:lvl w:ilvl="4" w:tplc="5EEAC844" w:tentative="1">
      <w:start w:val="1"/>
      <w:numFmt w:val="bullet"/>
      <w:lvlText w:val="•"/>
      <w:lvlJc w:val="left"/>
      <w:pPr>
        <w:tabs>
          <w:tab w:val="num" w:pos="3600"/>
        </w:tabs>
        <w:ind w:left="3600" w:hanging="360"/>
      </w:pPr>
      <w:rPr>
        <w:rFonts w:ascii="Arial" w:hAnsi="Arial" w:hint="default"/>
      </w:rPr>
    </w:lvl>
    <w:lvl w:ilvl="5" w:tplc="94122596" w:tentative="1">
      <w:start w:val="1"/>
      <w:numFmt w:val="bullet"/>
      <w:lvlText w:val="•"/>
      <w:lvlJc w:val="left"/>
      <w:pPr>
        <w:tabs>
          <w:tab w:val="num" w:pos="4320"/>
        </w:tabs>
        <w:ind w:left="4320" w:hanging="360"/>
      </w:pPr>
      <w:rPr>
        <w:rFonts w:ascii="Arial" w:hAnsi="Arial" w:hint="default"/>
      </w:rPr>
    </w:lvl>
    <w:lvl w:ilvl="6" w:tplc="63E0ED86" w:tentative="1">
      <w:start w:val="1"/>
      <w:numFmt w:val="bullet"/>
      <w:lvlText w:val="•"/>
      <w:lvlJc w:val="left"/>
      <w:pPr>
        <w:tabs>
          <w:tab w:val="num" w:pos="5040"/>
        </w:tabs>
        <w:ind w:left="5040" w:hanging="360"/>
      </w:pPr>
      <w:rPr>
        <w:rFonts w:ascii="Arial" w:hAnsi="Arial" w:hint="default"/>
      </w:rPr>
    </w:lvl>
    <w:lvl w:ilvl="7" w:tplc="AD704232" w:tentative="1">
      <w:start w:val="1"/>
      <w:numFmt w:val="bullet"/>
      <w:lvlText w:val="•"/>
      <w:lvlJc w:val="left"/>
      <w:pPr>
        <w:tabs>
          <w:tab w:val="num" w:pos="5760"/>
        </w:tabs>
        <w:ind w:left="5760" w:hanging="360"/>
      </w:pPr>
      <w:rPr>
        <w:rFonts w:ascii="Arial" w:hAnsi="Arial" w:hint="default"/>
      </w:rPr>
    </w:lvl>
    <w:lvl w:ilvl="8" w:tplc="FDB4A03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20"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3"/>
  </w:num>
  <w:num w:numId="3">
    <w:abstractNumId w:val="3"/>
  </w:num>
  <w:num w:numId="4">
    <w:abstractNumId w:val="2"/>
  </w:num>
  <w:num w:numId="5">
    <w:abstractNumId w:val="10"/>
  </w:num>
  <w:num w:numId="6">
    <w:abstractNumId w:val="18"/>
  </w:num>
  <w:num w:numId="7">
    <w:abstractNumId w:val="14"/>
  </w:num>
  <w:num w:numId="8">
    <w:abstractNumId w:val="21"/>
  </w:num>
  <w:num w:numId="9">
    <w:abstractNumId w:val="16"/>
  </w:num>
  <w:num w:numId="10">
    <w:abstractNumId w:val="1"/>
  </w:num>
  <w:num w:numId="11">
    <w:abstractNumId w:val="6"/>
  </w:num>
  <w:num w:numId="12">
    <w:abstractNumId w:val="19"/>
  </w:num>
  <w:num w:numId="13">
    <w:abstractNumId w:val="15"/>
  </w:num>
  <w:num w:numId="14">
    <w:abstractNumId w:val="5"/>
  </w:num>
  <w:num w:numId="15">
    <w:abstractNumId w:val="8"/>
  </w:num>
  <w:num w:numId="16">
    <w:abstractNumId w:val="17"/>
  </w:num>
  <w:num w:numId="17">
    <w:abstractNumId w:val="11"/>
  </w:num>
  <w:num w:numId="18">
    <w:abstractNumId w:val="7"/>
  </w:num>
  <w:num w:numId="19">
    <w:abstractNumId w:val="12"/>
  </w:num>
  <w:num w:numId="20">
    <w:abstractNumId w:val="0"/>
  </w:num>
  <w:num w:numId="21">
    <w:abstractNumId w:val="4"/>
  </w:num>
  <w:num w:numId="2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6F3"/>
    <w:rsid w:val="00011779"/>
    <w:rsid w:val="00011B0F"/>
    <w:rsid w:val="0001295C"/>
    <w:rsid w:val="00012A64"/>
    <w:rsid w:val="00013939"/>
    <w:rsid w:val="00013AD4"/>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4A5"/>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CB0"/>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2D87"/>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640"/>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32D"/>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77B"/>
    <w:rsid w:val="00175CD8"/>
    <w:rsid w:val="001762D4"/>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1526"/>
    <w:rsid w:val="001A2124"/>
    <w:rsid w:val="001A225A"/>
    <w:rsid w:val="001A248E"/>
    <w:rsid w:val="001A2E9E"/>
    <w:rsid w:val="001A3853"/>
    <w:rsid w:val="001A38CD"/>
    <w:rsid w:val="001A391A"/>
    <w:rsid w:val="001A3E40"/>
    <w:rsid w:val="001A3E51"/>
    <w:rsid w:val="001A4272"/>
    <w:rsid w:val="001A442D"/>
    <w:rsid w:val="001A4E4E"/>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25F"/>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0F"/>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69D0"/>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953"/>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4C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2ED1"/>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2EAA"/>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29E4"/>
    <w:rsid w:val="002F304A"/>
    <w:rsid w:val="002F3203"/>
    <w:rsid w:val="002F3323"/>
    <w:rsid w:val="002F366D"/>
    <w:rsid w:val="002F3AB4"/>
    <w:rsid w:val="002F41F9"/>
    <w:rsid w:val="002F462D"/>
    <w:rsid w:val="002F4AC9"/>
    <w:rsid w:val="002F4C8F"/>
    <w:rsid w:val="002F54FD"/>
    <w:rsid w:val="002F64BB"/>
    <w:rsid w:val="002F67DF"/>
    <w:rsid w:val="002F6C08"/>
    <w:rsid w:val="002F6CBF"/>
    <w:rsid w:val="002F6CF8"/>
    <w:rsid w:val="002F72DA"/>
    <w:rsid w:val="002F7FF6"/>
    <w:rsid w:val="0030017A"/>
    <w:rsid w:val="003001CA"/>
    <w:rsid w:val="003002F9"/>
    <w:rsid w:val="00301089"/>
    <w:rsid w:val="00301111"/>
    <w:rsid w:val="0030128C"/>
    <w:rsid w:val="003019C3"/>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3D1"/>
    <w:rsid w:val="00315DDF"/>
    <w:rsid w:val="00316164"/>
    <w:rsid w:val="00316B4F"/>
    <w:rsid w:val="00316E38"/>
    <w:rsid w:val="00316E73"/>
    <w:rsid w:val="00317E30"/>
    <w:rsid w:val="00317EC3"/>
    <w:rsid w:val="003205EB"/>
    <w:rsid w:val="003208EF"/>
    <w:rsid w:val="00320A11"/>
    <w:rsid w:val="00321418"/>
    <w:rsid w:val="0032146E"/>
    <w:rsid w:val="00321533"/>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EB9"/>
    <w:rsid w:val="00343FE8"/>
    <w:rsid w:val="003447A5"/>
    <w:rsid w:val="00344F8D"/>
    <w:rsid w:val="00345022"/>
    <w:rsid w:val="00345BB2"/>
    <w:rsid w:val="00345F76"/>
    <w:rsid w:val="00346539"/>
    <w:rsid w:val="0034688E"/>
    <w:rsid w:val="00346A2E"/>
    <w:rsid w:val="00346B6E"/>
    <w:rsid w:val="003475C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7B6"/>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1BD8"/>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6F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1F"/>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9DD"/>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63D1"/>
    <w:rsid w:val="00416773"/>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857"/>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335"/>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250"/>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9D8"/>
    <w:rsid w:val="004F0D2A"/>
    <w:rsid w:val="004F0DB4"/>
    <w:rsid w:val="004F1097"/>
    <w:rsid w:val="004F1321"/>
    <w:rsid w:val="004F1A95"/>
    <w:rsid w:val="004F2ADF"/>
    <w:rsid w:val="004F3489"/>
    <w:rsid w:val="004F452D"/>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0C9F"/>
    <w:rsid w:val="00521084"/>
    <w:rsid w:val="00521BFC"/>
    <w:rsid w:val="00522281"/>
    <w:rsid w:val="00522956"/>
    <w:rsid w:val="00523F0C"/>
    <w:rsid w:val="00524DC5"/>
    <w:rsid w:val="00525454"/>
    <w:rsid w:val="0052602F"/>
    <w:rsid w:val="00526EC4"/>
    <w:rsid w:val="00527A83"/>
    <w:rsid w:val="00527AC9"/>
    <w:rsid w:val="00527B01"/>
    <w:rsid w:val="0053004F"/>
    <w:rsid w:val="005300F9"/>
    <w:rsid w:val="00530B83"/>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7B3"/>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309"/>
    <w:rsid w:val="005545C4"/>
    <w:rsid w:val="005545CA"/>
    <w:rsid w:val="0055479A"/>
    <w:rsid w:val="00554E08"/>
    <w:rsid w:val="00554E74"/>
    <w:rsid w:val="005552D9"/>
    <w:rsid w:val="005554FF"/>
    <w:rsid w:val="00555C78"/>
    <w:rsid w:val="005564E0"/>
    <w:rsid w:val="0055690B"/>
    <w:rsid w:val="00556F40"/>
    <w:rsid w:val="005603B3"/>
    <w:rsid w:val="00560419"/>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EC9"/>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6E8"/>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A95"/>
    <w:rsid w:val="005C6E40"/>
    <w:rsid w:val="005C730C"/>
    <w:rsid w:val="005C748C"/>
    <w:rsid w:val="005D0100"/>
    <w:rsid w:val="005D05E3"/>
    <w:rsid w:val="005D0890"/>
    <w:rsid w:val="005D100E"/>
    <w:rsid w:val="005D10BA"/>
    <w:rsid w:val="005D1447"/>
    <w:rsid w:val="005D15A7"/>
    <w:rsid w:val="005D186D"/>
    <w:rsid w:val="005D198E"/>
    <w:rsid w:val="005D22A1"/>
    <w:rsid w:val="005D353F"/>
    <w:rsid w:val="005D36FD"/>
    <w:rsid w:val="005D39A4"/>
    <w:rsid w:val="005D3B3E"/>
    <w:rsid w:val="005D4892"/>
    <w:rsid w:val="005D5435"/>
    <w:rsid w:val="005D62A1"/>
    <w:rsid w:val="005D6843"/>
    <w:rsid w:val="005D6AE3"/>
    <w:rsid w:val="005D6ECB"/>
    <w:rsid w:val="005D6F5D"/>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A2C"/>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E9E"/>
    <w:rsid w:val="00643F42"/>
    <w:rsid w:val="00644278"/>
    <w:rsid w:val="00644625"/>
    <w:rsid w:val="00644C01"/>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09A"/>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6F02"/>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3F5F"/>
    <w:rsid w:val="006840BB"/>
    <w:rsid w:val="006844CD"/>
    <w:rsid w:val="00684B81"/>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1C05"/>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573B"/>
    <w:rsid w:val="006B641E"/>
    <w:rsid w:val="006B6FFD"/>
    <w:rsid w:val="006B71DD"/>
    <w:rsid w:val="006B730E"/>
    <w:rsid w:val="006B742A"/>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0AB"/>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28E"/>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5C22"/>
    <w:rsid w:val="0071627F"/>
    <w:rsid w:val="00716E8B"/>
    <w:rsid w:val="00716EDB"/>
    <w:rsid w:val="0071705B"/>
    <w:rsid w:val="0071759D"/>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3434"/>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88B"/>
    <w:rsid w:val="00747BCC"/>
    <w:rsid w:val="00747DC7"/>
    <w:rsid w:val="00750FD0"/>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5F7"/>
    <w:rsid w:val="007A3BD5"/>
    <w:rsid w:val="007A44DC"/>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375"/>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2DD7"/>
    <w:rsid w:val="007C3162"/>
    <w:rsid w:val="007C3550"/>
    <w:rsid w:val="007C37F1"/>
    <w:rsid w:val="007C40CD"/>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172"/>
    <w:rsid w:val="007D2AA0"/>
    <w:rsid w:val="007D3A69"/>
    <w:rsid w:val="007D3B6C"/>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072"/>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2DEE"/>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2939"/>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53E"/>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5E82"/>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F96"/>
    <w:rsid w:val="008B5290"/>
    <w:rsid w:val="008B55FA"/>
    <w:rsid w:val="008B60A7"/>
    <w:rsid w:val="008B6D94"/>
    <w:rsid w:val="008B6FEB"/>
    <w:rsid w:val="008B77B0"/>
    <w:rsid w:val="008C09EB"/>
    <w:rsid w:val="008C15E1"/>
    <w:rsid w:val="008C178D"/>
    <w:rsid w:val="008C1912"/>
    <w:rsid w:val="008C19DE"/>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1F1F"/>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0EF"/>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1"/>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65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A30"/>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A43"/>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9B2"/>
    <w:rsid w:val="00A10A6D"/>
    <w:rsid w:val="00A10CB1"/>
    <w:rsid w:val="00A111E1"/>
    <w:rsid w:val="00A11F8F"/>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8F8"/>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1E2"/>
    <w:rsid w:val="00A57880"/>
    <w:rsid w:val="00A57C29"/>
    <w:rsid w:val="00A57CEE"/>
    <w:rsid w:val="00A60498"/>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89A"/>
    <w:rsid w:val="00A65CD4"/>
    <w:rsid w:val="00A662EC"/>
    <w:rsid w:val="00A66510"/>
    <w:rsid w:val="00A67187"/>
    <w:rsid w:val="00A673E2"/>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4822"/>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26E"/>
    <w:rsid w:val="00AA7933"/>
    <w:rsid w:val="00AA7B4F"/>
    <w:rsid w:val="00AA7F60"/>
    <w:rsid w:val="00AB0376"/>
    <w:rsid w:val="00AB071F"/>
    <w:rsid w:val="00AB0B0A"/>
    <w:rsid w:val="00AB1143"/>
    <w:rsid w:val="00AB1FCC"/>
    <w:rsid w:val="00AB2409"/>
    <w:rsid w:val="00AB2452"/>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192"/>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3CF8"/>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B6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412"/>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0F54"/>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A6E"/>
    <w:rsid w:val="00C56D2D"/>
    <w:rsid w:val="00C56D48"/>
    <w:rsid w:val="00C5726B"/>
    <w:rsid w:val="00C572FB"/>
    <w:rsid w:val="00C5758D"/>
    <w:rsid w:val="00C57805"/>
    <w:rsid w:val="00C57C45"/>
    <w:rsid w:val="00C60425"/>
    <w:rsid w:val="00C60BE7"/>
    <w:rsid w:val="00C60C76"/>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50"/>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4E8B"/>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612"/>
    <w:rsid w:val="00CD472C"/>
    <w:rsid w:val="00CD4A75"/>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5B"/>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B9"/>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5F1F"/>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A7CC0"/>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6B2"/>
    <w:rsid w:val="00DE5978"/>
    <w:rsid w:val="00DE5C38"/>
    <w:rsid w:val="00DE5D2C"/>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67D6"/>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CF2"/>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67E"/>
    <w:rsid w:val="00E70787"/>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86"/>
    <w:rsid w:val="00EA40D5"/>
    <w:rsid w:val="00EA43F9"/>
    <w:rsid w:val="00EA461F"/>
    <w:rsid w:val="00EA5CCC"/>
    <w:rsid w:val="00EA5EFD"/>
    <w:rsid w:val="00EA61F9"/>
    <w:rsid w:val="00EA6600"/>
    <w:rsid w:val="00EA6BD8"/>
    <w:rsid w:val="00EA6EEB"/>
    <w:rsid w:val="00EA7120"/>
    <w:rsid w:val="00EA7437"/>
    <w:rsid w:val="00EA7931"/>
    <w:rsid w:val="00EA7C0E"/>
    <w:rsid w:val="00EB0C5F"/>
    <w:rsid w:val="00EB1BA0"/>
    <w:rsid w:val="00EB1BBB"/>
    <w:rsid w:val="00EB281F"/>
    <w:rsid w:val="00EB2F05"/>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4D"/>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40C"/>
    <w:rsid w:val="00F41B86"/>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49"/>
    <w:rsid w:val="00F65194"/>
    <w:rsid w:val="00F6553E"/>
    <w:rsid w:val="00F65631"/>
    <w:rsid w:val="00F658A1"/>
    <w:rsid w:val="00F65FFC"/>
    <w:rsid w:val="00F660BC"/>
    <w:rsid w:val="00F669B1"/>
    <w:rsid w:val="00F66BB4"/>
    <w:rsid w:val="00F66D26"/>
    <w:rsid w:val="00F66E86"/>
    <w:rsid w:val="00F671DB"/>
    <w:rsid w:val="00F6720C"/>
    <w:rsid w:val="00F679DA"/>
    <w:rsid w:val="00F702EB"/>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09F"/>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BEE"/>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5AC9"/>
    <w:rsid w:val="00FF60E0"/>
    <w:rsid w:val="00FF63A0"/>
    <w:rsid w:val="00FF6718"/>
    <w:rsid w:val="00FF6AD1"/>
    <w:rsid w:val="00FF71B5"/>
    <w:rsid w:val="00FF73F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70AB"/>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E70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70AB"/>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7753547">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2088115">
      <w:bodyDiv w:val="1"/>
      <w:marLeft w:val="0"/>
      <w:marRight w:val="0"/>
      <w:marTop w:val="0"/>
      <w:marBottom w:val="0"/>
      <w:divBdr>
        <w:top w:val="none" w:sz="0" w:space="0" w:color="auto"/>
        <w:left w:val="none" w:sz="0" w:space="0" w:color="auto"/>
        <w:bottom w:val="none" w:sz="0" w:space="0" w:color="auto"/>
        <w:right w:val="none" w:sz="0" w:space="0" w:color="auto"/>
      </w:divBdr>
      <w:divsChild>
        <w:div w:id="125589906">
          <w:marLeft w:val="1166"/>
          <w:marRight w:val="0"/>
          <w:marTop w:val="9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8347343">
      <w:bodyDiv w:val="1"/>
      <w:marLeft w:val="0"/>
      <w:marRight w:val="0"/>
      <w:marTop w:val="0"/>
      <w:marBottom w:val="0"/>
      <w:divBdr>
        <w:top w:val="none" w:sz="0" w:space="0" w:color="auto"/>
        <w:left w:val="none" w:sz="0" w:space="0" w:color="auto"/>
        <w:bottom w:val="none" w:sz="0" w:space="0" w:color="auto"/>
        <w:right w:val="none" w:sz="0" w:space="0" w:color="auto"/>
      </w:divBdr>
      <w:divsChild>
        <w:div w:id="1586527634">
          <w:marLeft w:val="547"/>
          <w:marRight w:val="0"/>
          <w:marTop w:val="144"/>
          <w:marBottom w:val="0"/>
          <w:divBdr>
            <w:top w:val="none" w:sz="0" w:space="0" w:color="auto"/>
            <w:left w:val="none" w:sz="0" w:space="0" w:color="auto"/>
            <w:bottom w:val="none" w:sz="0" w:space="0" w:color="auto"/>
            <w:right w:val="none" w:sz="0" w:space="0" w:color="auto"/>
          </w:divBdr>
        </w:div>
        <w:div w:id="1586374989">
          <w:marLeft w:val="547"/>
          <w:marRight w:val="0"/>
          <w:marTop w:val="144"/>
          <w:marBottom w:val="0"/>
          <w:divBdr>
            <w:top w:val="none" w:sz="0" w:space="0" w:color="auto"/>
            <w:left w:val="none" w:sz="0" w:space="0" w:color="auto"/>
            <w:bottom w:val="none" w:sz="0" w:space="0" w:color="auto"/>
            <w:right w:val="none" w:sz="0" w:space="0" w:color="auto"/>
          </w:divBdr>
        </w:div>
        <w:div w:id="1530988731">
          <w:marLeft w:val="547"/>
          <w:marRight w:val="0"/>
          <w:marTop w:val="144"/>
          <w:marBottom w:val="0"/>
          <w:divBdr>
            <w:top w:val="none" w:sz="0" w:space="0" w:color="auto"/>
            <w:left w:val="none" w:sz="0" w:space="0" w:color="auto"/>
            <w:bottom w:val="none" w:sz="0" w:space="0" w:color="auto"/>
            <w:right w:val="none" w:sz="0" w:space="0" w:color="auto"/>
          </w:divBdr>
        </w:div>
        <w:div w:id="206331842">
          <w:marLeft w:val="547"/>
          <w:marRight w:val="0"/>
          <w:marTop w:val="144"/>
          <w:marBottom w:val="0"/>
          <w:divBdr>
            <w:top w:val="none" w:sz="0" w:space="0" w:color="auto"/>
            <w:left w:val="none" w:sz="0" w:space="0" w:color="auto"/>
            <w:bottom w:val="none" w:sz="0" w:space="0" w:color="auto"/>
            <w:right w:val="none" w:sz="0" w:space="0" w:color="auto"/>
          </w:divBdr>
        </w:div>
        <w:div w:id="726104912">
          <w:marLeft w:val="547"/>
          <w:marRight w:val="0"/>
          <w:marTop w:val="144"/>
          <w:marBottom w:val="0"/>
          <w:divBdr>
            <w:top w:val="none" w:sz="0" w:space="0" w:color="auto"/>
            <w:left w:val="none" w:sz="0" w:space="0" w:color="auto"/>
            <w:bottom w:val="none" w:sz="0" w:space="0" w:color="auto"/>
            <w:right w:val="none" w:sz="0" w:space="0" w:color="auto"/>
          </w:divBdr>
        </w:div>
      </w:divsChild>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482093">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0182535">
      <w:bodyDiv w:val="1"/>
      <w:marLeft w:val="0"/>
      <w:marRight w:val="0"/>
      <w:marTop w:val="0"/>
      <w:marBottom w:val="0"/>
      <w:divBdr>
        <w:top w:val="none" w:sz="0" w:space="0" w:color="auto"/>
        <w:left w:val="none" w:sz="0" w:space="0" w:color="auto"/>
        <w:bottom w:val="none" w:sz="0" w:space="0" w:color="auto"/>
        <w:right w:val="none" w:sz="0" w:space="0" w:color="auto"/>
      </w:divBdr>
      <w:divsChild>
        <w:div w:id="1096171324">
          <w:marLeft w:val="547"/>
          <w:marRight w:val="0"/>
          <w:marTop w:val="115"/>
          <w:marBottom w:val="0"/>
          <w:divBdr>
            <w:top w:val="none" w:sz="0" w:space="0" w:color="auto"/>
            <w:left w:val="none" w:sz="0" w:space="0" w:color="auto"/>
            <w:bottom w:val="none" w:sz="0" w:space="0" w:color="auto"/>
            <w:right w:val="none" w:sz="0" w:space="0" w:color="auto"/>
          </w:divBdr>
        </w:div>
        <w:div w:id="1177043112">
          <w:marLeft w:val="1166"/>
          <w:marRight w:val="0"/>
          <w:marTop w:val="86"/>
          <w:marBottom w:val="0"/>
          <w:divBdr>
            <w:top w:val="none" w:sz="0" w:space="0" w:color="auto"/>
            <w:left w:val="none" w:sz="0" w:space="0" w:color="auto"/>
            <w:bottom w:val="none" w:sz="0" w:space="0" w:color="auto"/>
            <w:right w:val="none" w:sz="0" w:space="0" w:color="auto"/>
          </w:divBdr>
        </w:div>
        <w:div w:id="14962552">
          <w:marLeft w:val="547"/>
          <w:marRight w:val="0"/>
          <w:marTop w:val="115"/>
          <w:marBottom w:val="0"/>
          <w:divBdr>
            <w:top w:val="none" w:sz="0" w:space="0" w:color="auto"/>
            <w:left w:val="none" w:sz="0" w:space="0" w:color="auto"/>
            <w:bottom w:val="none" w:sz="0" w:space="0" w:color="auto"/>
            <w:right w:val="none" w:sz="0" w:space="0" w:color="auto"/>
          </w:divBdr>
        </w:div>
        <w:div w:id="1869290735">
          <w:marLeft w:val="547"/>
          <w:marRight w:val="0"/>
          <w:marTop w:val="115"/>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3BD7D-D435-42DC-8C42-4F71814C9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1072</Words>
  <Characters>6114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2019-10-01T15:15:00Z</dcterms:created>
  <dcterms:modified xsi:type="dcterms:W3CDTF">2020-04-10T06:43:00Z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